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6.png" ContentType="image/png"/>
  <Override PartName="/word/media/rId29.png" ContentType="image/png"/>
  <Override PartName="/word/media/rId32.png" ContentType="image/png"/>
  <Override PartName="/word/media/rId35.png" ContentType="image/png"/>
  <Override PartName="/word/media/rId38.png" ContentType="image/png"/>
  <Override PartName="/word/media/rId41.png" ContentType="image/png"/>
  <Override PartName="/word/media/rId44.png" ContentType="image/png"/>
  <Override PartName="/word/media/rId47.png" ContentType="image/png"/>
  <Override PartName="/word/media/rId52.png" ContentType="image/png"/>
  <Override PartName="/word/media/rId55.png" ContentType="image/png"/>
  <Override PartName="/word/media/rId58.png" ContentType="image/png"/>
  <Override PartName="/word/media/rId61.png" ContentType="image/png"/>
  <Override PartName="/word/media/rId65.png" ContentType="image/png"/>
  <Override PartName="/word/media/rId68.png" ContentType="image/png"/>
  <Override PartName="/word/media/rId71.png" ContentType="image/png"/>
  <Override PartName="/word/media/rId74.png" ContentType="image/png"/>
  <Override PartName="/word/media/rId79.png" ContentType="image/png"/>
  <Override PartName="/word/media/rId82.png" ContentType="image/png"/>
  <Override PartName="/word/media/rId85.png" ContentType="image/png"/>
  <Override PartName="/word/media/rId88.png" ContentType="image/png"/>
  <Override PartName="/word/media/rId92.png" ContentType="image/png"/>
  <Override PartName="/word/media/rId95.png" ContentType="image/png"/>
  <Override PartName="/word/media/rId98.png" ContentType="image/png"/>
  <Override PartName="/word/media/rId101.png" ContentType="image/png"/>
  <Override PartName="/word/media/rId110.png" ContentType="image/png"/>
  <Override PartName="/word/media/rId113.png" ContentType="image/png"/>
  <Override PartName="/word/media/rId116.png" ContentType="image/png"/>
  <Override PartName="/word/media/rId119.png" ContentType="image/png"/>
  <Override PartName="/word/media/rId123.png" ContentType="image/png"/>
  <Override PartName="/word/media/rId107.png" ContentType="image/png"/>
  <Override PartName="/word/media/rId149.png" ContentType="image/png"/>
  <Override PartName="/word/media/rId153.png" ContentType="image/png"/>
  <Override PartName="/word/media/rId1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UGT</w:t>
      </w:r>
      <w:r>
        <w:t xml:space="preserve"> </w:t>
      </w:r>
      <w:r>
        <w:t xml:space="preserve">DDI</w:t>
      </w:r>
      <w:r>
        <w:t xml:space="preserve"> </w:t>
      </w:r>
      <w:r>
        <w:t xml:space="preserve">Inhibition</w:t>
      </w:r>
      <w:r>
        <w:t xml:space="preserve"> </w:t>
      </w:r>
      <w:r>
        <w:t xml:space="preserve">Qualification</w:t>
      </w:r>
    </w:p>
    <w:p>
      <w:pPr>
        <w:pStyle w:val="AbstractTitle"/>
      </w:pPr>
      <w:r>
        <w:t xml:space="preserve">Abstract</w:t>
      </w:r>
    </w:p>
    <w:tbl>
      <w:tblPr>
        <w:tblStyle w:val="Table"/>
        <w:tblW w:type="pct" w:w="5000"/>
        <w:tblLook w:firstRow="1" w:lastRow="0" w:firstColumn="0" w:lastColumn="0" w:noHBand="0" w:noVBand="0" w:val="0020"/>
        <w:jc w:val="start"/>
      </w:tblPr>
      <w:tblGrid>
        <w:gridCol w:w="2698"/>
        <w:gridCol w:w="5221"/>
      </w:tblGrid>
      <w:tr>
        <w:trPr>
          <w:tblHeader w:val="true"/>
        </w:trPr>
        <w:tc>
          <w:tcPr/>
          <w:p>
            <w:pPr>
              <w:pStyle w:val="Compact"/>
              <w:jc w:val="left"/>
            </w:pPr>
            <w:r>
              <w:t xml:space="preserve">Version</w:t>
            </w:r>
          </w:p>
        </w:tc>
        <w:tc>
          <w:tcPr/>
          <w:p>
            <w:pPr>
              <w:pStyle w:val="Compact"/>
              <w:jc w:val="left"/>
            </w:pPr>
            <w:r>
              <w:t xml:space="preserve">x.x-OSPy.y</w:t>
            </w:r>
          </w:p>
        </w:tc>
      </w:tr>
      <w:tr>
        <w:tc>
          <w:tcPr/>
          <w:p>
            <w:pPr>
              <w:pStyle w:val="Compact"/>
              <w:jc w:val="left"/>
            </w:pPr>
            <w:r>
              <w:t xml:space="preserve">Qualification</w:t>
            </w:r>
            <w:r>
              <w:t xml:space="preserve"> </w:t>
            </w:r>
            <w:r>
              <w:t xml:space="preserve">Plan</w:t>
            </w:r>
            <w:r>
              <w:t xml:space="preserve"> </w:t>
            </w:r>
            <w:r>
              <w:t xml:space="preserve">Release</w:t>
            </w:r>
          </w:p>
        </w:tc>
        <w:tc>
          <w:tcPr/>
          <w:p>
            <w:pPr>
              <w:pStyle w:val="Compact"/>
              <w:jc w:val="left"/>
            </w:pPr>
            <w:r>
              <w:t xml:space="preserve">https://github.com/Open-Systems-Pharmacology/Qualification-DDI-UGT/releases/tag/vx.x</w:t>
            </w:r>
          </w:p>
        </w:tc>
      </w:tr>
      <w:tr>
        <w:tc>
          <w:tcPr/>
          <w:p>
            <w:pPr>
              <w:pStyle w:val="Compact"/>
              <w:jc w:val="left"/>
            </w:pPr>
            <w:r>
              <w:t xml:space="preserve">OSP</w:t>
            </w:r>
            <w:r>
              <w:t xml:space="preserve"> </w:t>
            </w:r>
            <w:r>
              <w:t xml:space="preserve">Version</w:t>
            </w:r>
          </w:p>
        </w:tc>
        <w:tc>
          <w:tcPr/>
          <w:p>
            <w:pPr>
              <w:pStyle w:val="Compact"/>
              <w:jc w:val="left"/>
            </w:pPr>
            <w:r>
              <w:t xml:space="preserve">y.y</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z.z</w:t>
            </w:r>
          </w:p>
        </w:tc>
      </w:tr>
    </w:tbl>
    <w:p>
      <w:pPr>
        <w:pStyle w:val="Abstract"/>
      </w:pPr>
      <w:r>
        <w:t xml:space="preserve">This</w:t>
      </w:r>
      <w:r>
        <w:t xml:space="preserve"> </w:t>
      </w:r>
      <w:r>
        <w:t xml:space="preserve">qualification</w:t>
      </w:r>
      <w:r>
        <w:t xml:space="preserve"> </w:t>
      </w:r>
      <w:r>
        <w:t xml:space="preserve">report</w:t>
      </w:r>
      <w:r>
        <w:t xml:space="preserve"> </w:t>
      </w:r>
      <w:r>
        <w:t xml:space="preserve">is</w:t>
      </w:r>
      <w:r>
        <w:t xml:space="preserve"> </w:t>
      </w:r>
      <w:r>
        <w:t xml:space="preserve">filed</w:t>
      </w:r>
      <w:r>
        <w:t xml:space="preserve"> </w:t>
      </w:r>
      <w:r>
        <w:t xml:space="preserve">at:</w:t>
      </w:r>
    </w:p>
    <w:p>
      <w:pPr>
        <w:pStyle w:val="Abstract"/>
      </w:pPr>
      <w:r>
        <w:t xml:space="preserve">https://github.com/Open-Systems-Pharmacology/OSP-Qualification-Reports</w:t>
      </w:r>
    </w:p>
    <w:p>
      <w:pPr>
        <w:pStyle w:val="Abstract"/>
      </w:pPr>
      <w:br w:type="page"/>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r>
        <w:bookmarkStart w:id="1" w:name="1"/>
        <w:bookmarkEnd w:id="1"/>
      </w:r>
    </w:p>
    <w:bookmarkStart w:id="25" w:name="introduction"/>
    <w:p>
      <w:pPr>
        <w:pStyle w:val="Heading1"/>
      </w:pPr>
      <w:r>
        <w:t xml:space="preserve">1 Introduction</w:t>
      </w:r>
    </w:p>
    <w:p>
      <w:pPr>
        <w:pStyle w:val="FirstParagraph"/>
      </w:pPr>
    </w:p>
    <w:p>
      <w:r>
        <w:bookmarkStart w:id="11" w:name="11"/>
        <w:bookmarkEnd w:id="11"/>
      </w:r>
    </w:p>
    <w:bookmarkStart w:id="20" w:name="objective"/>
    <w:p>
      <w:pPr>
        <w:pStyle w:val="Heading2"/>
      </w:pPr>
      <w:r>
        <w:t xml:space="preserve">1.1 Objective</w:t>
      </w:r>
    </w:p>
    <w:p>
      <w:pPr>
        <w:pStyle w:val="FirstParagraph"/>
      </w:pPr>
      <w:r>
        <w:t xml:space="preserve">This</w:t>
      </w:r>
      <w:r>
        <w:t xml:space="preserve"> </w:t>
      </w:r>
      <w:r>
        <w:rPr>
          <w:bCs/>
          <w:b/>
        </w:rPr>
        <w:t xml:space="preserve">qualification report</w:t>
      </w:r>
      <w:r>
        <w:t xml:space="preserve"> </w:t>
      </w:r>
      <w:r>
        <w:t xml:space="preserve">evaluates for the PBPK platform</w:t>
      </w:r>
      <w:r>
        <w:t xml:space="preserve"> </w:t>
      </w:r>
      <w:r>
        <w:rPr>
          <w:bCs/>
          <w:b/>
        </w:rPr>
        <w:t xml:space="preserve">PK-Sim</w:t>
      </w:r>
      <w:r>
        <w:t xml:space="preserve"> </w:t>
      </w:r>
      <w:r>
        <w:t xml:space="preserve">(as part of the open systems pharmacology (OSP) suite) the ability to perform simulations with the intended purpose to predict UGT1A1- and UGT1A9-mediated drug-drug interactions (</w:t>
      </w:r>
      <w:r>
        <w:rPr>
          <w:bCs/>
          <w:b/>
        </w:rPr>
        <w:t xml:space="preserve">DDI</w:t>
      </w:r>
      <w:r>
        <w:t xml:space="preserve">)</w:t>
      </w:r>
    </w:p>
    <w:p>
      <w:pPr>
        <w:pStyle w:val="BodyText"/>
      </w:pPr>
      <w:r>
        <w:t xml:space="preserve">To demonstrate the level of confidence the predictive performance of the platform for this indented purpose is assessed particularly for</w:t>
      </w:r>
      <w:r>
        <w:t xml:space="preserve"> </w:t>
      </w:r>
      <w:r>
        <w:rPr>
          <w:bCs/>
          <w:b/>
        </w:rPr>
        <w:t xml:space="preserve">inhibition</w:t>
      </w:r>
      <w:r>
        <w:t xml:space="preserve"> </w:t>
      </w:r>
      <w:r>
        <w:t xml:space="preserve">of UGT1A1 and UGT1A9 by selected perpetrators on sensitive substrates . All PBPK models represent whole-body PBPK models, which allow dynamic DDI simulations in organs expressing UGT1A1 or UGT1A9, respectively.</w:t>
      </w:r>
    </w:p>
    <w:p>
      <w:pPr>
        <w:pStyle w:val="BodyText"/>
      </w:pPr>
      <w:r>
        <w:t xml:space="preserve">The respective</w:t>
      </w:r>
      <w:r>
        <w:t xml:space="preserve"> </w:t>
      </w:r>
      <w:r>
        <w:rPr>
          <w:iCs/>
          <w:i/>
        </w:rPr>
        <w:t xml:space="preserve">qualification plan</w:t>
      </w:r>
      <w:r>
        <w:t xml:space="preserve"> </w:t>
      </w:r>
      <w:r>
        <w:t xml:space="preserve">to produce this</w:t>
      </w:r>
      <w:r>
        <w:t xml:space="preserve"> </w:t>
      </w:r>
      <w:r>
        <w:rPr>
          <w:iCs/>
          <w:i/>
        </w:rPr>
        <w:t xml:space="preserve">qualification report</w:t>
      </w:r>
      <w:r>
        <w:t xml:space="preserve"> </w:t>
      </w:r>
      <w:r>
        <w:t xml:space="preserve">is transparently documented and provided open-source (www.open-systems-pharmacology.org). The same applies for all presented PBPK models including</w:t>
      </w:r>
      <w:r>
        <w:t xml:space="preserve"> </w:t>
      </w:r>
      <w:r>
        <w:rPr>
          <w:iCs/>
          <w:i/>
        </w:rPr>
        <w:t xml:space="preserve">evaluation reports</w:t>
      </w:r>
      <w:r>
        <w:t xml:space="preserve"> </w:t>
      </w:r>
      <w:r>
        <w:t xml:space="preserve">on model building and evaluation of each model.</w:t>
      </w:r>
    </w:p>
    <w:p>
      <w:pPr>
        <w:pStyle w:val="BodyText"/>
      </w:pPr>
      <w:r>
        <w:rPr>
          <w:iCs/>
          <w:i/>
        </w:rPr>
        <w:t xml:space="preserve">Evaluation reports</w:t>
      </w:r>
      <w:r>
        <w:t xml:space="preserve"> </w:t>
      </w:r>
      <w:r>
        <w:t xml:space="preserve">including descriptions on model building and detailed evaluations of the included models are documented separately (see</w:t>
      </w:r>
      <w:r>
        <w:t xml:space="preserve"> </w:t>
      </w:r>
      <w:hyperlink w:anchor="Xf4fd85115624505b1719cd1154527ee61955977">
        <w:r>
          <w:rPr>
            <w:rStyle w:val="Hyperlink"/>
          </w:rPr>
          <w:t xml:space="preserve">Section 1.2</w:t>
        </w:r>
      </w:hyperlink>
      <w:r>
        <w:t xml:space="preserve">).</w:t>
      </w:r>
    </w:p>
    <w:p>
      <w:pPr>
        <w:pStyle w:val="BodyText"/>
      </w:pPr>
      <w:r>
        <w:t xml:space="preserve">Please refer to the</w:t>
      </w:r>
      <w:r>
        <w:t xml:space="preserve"> </w:t>
      </w:r>
      <w:hyperlink w:anchor="Xccb09e9db899353579f36fe335c6828b80529a6">
        <w:r>
          <w:rPr>
            <w:rStyle w:val="Hyperlink"/>
          </w:rPr>
          <w:t xml:space="preserve">Appendix</w:t>
        </w:r>
      </w:hyperlink>
      <w:r>
        <w:t xml:space="preserve"> </w:t>
      </w:r>
      <w:r>
        <w:t xml:space="preserve">to learn more details:</w:t>
      </w:r>
    </w:p>
    <w:p>
      <w:pPr>
        <w:numPr>
          <w:ilvl w:val="0"/>
          <w:numId w:val="1001"/>
        </w:numPr>
      </w:pPr>
      <w:r>
        <w:t xml:space="preserve">An overview over the Open Systems Pharmacology Suite is given in chapter</w:t>
      </w:r>
      <w:r>
        <w:t xml:space="preserve"> </w:t>
      </w:r>
      <w:hyperlink w:anchor="X998e48a0e5b5454ddf03bb2406d98287718c549">
        <w:r>
          <w:rPr>
            <w:rStyle w:val="Hyperlink"/>
          </w:rPr>
          <w:t xml:space="preserve">Section 5.1</w:t>
        </w:r>
      </w:hyperlink>
    </w:p>
    <w:p>
      <w:pPr>
        <w:numPr>
          <w:ilvl w:val="0"/>
          <w:numId w:val="1001"/>
        </w:numPr>
      </w:pPr>
      <w:hyperlink w:anchor="X322dd047aa21d619afad1a10fcc91b08217dd1b">
        <w:r>
          <w:rPr>
            <w:rStyle w:val="Hyperlink"/>
          </w:rPr>
          <w:t xml:space="preserve">Section 5.2</w:t>
        </w:r>
      </w:hyperlink>
      <w:r>
        <w:t xml:space="preserve"> </w:t>
      </w:r>
      <w:r>
        <w:t xml:space="preserve">shows the implementation of the underlying mathematical equations for drug-drug interactions in the OSP suite.</w:t>
      </w:r>
    </w:p>
    <w:p>
      <w:pPr>
        <w:numPr>
          <w:ilvl w:val="0"/>
          <w:numId w:val="1001"/>
        </w:numPr>
      </w:pPr>
      <w:r>
        <w:t xml:space="preserve">A detailed general description of the performed qualification workflow (</w:t>
      </w:r>
      <w:r>
        <w:rPr>
          <w:iCs/>
          <w:i/>
        </w:rPr>
        <w:t xml:space="preserve">qualification plan</w:t>
      </w:r>
      <w:r>
        <w:t xml:space="preserve">,</w:t>
      </w:r>
      <w:r>
        <w:t xml:space="preserve"> </w:t>
      </w:r>
      <w:r>
        <w:rPr>
          <w:iCs/>
          <w:i/>
        </w:rPr>
        <w:t xml:space="preserve">qualification report</w:t>
      </w:r>
      <w:r>
        <w:t xml:space="preserve">, etc.) can be found in chapter</w:t>
      </w:r>
      <w:r>
        <w:t xml:space="preserve"> </w:t>
      </w:r>
      <w:hyperlink w:anchor="Xc658eb5a66c0ce0785a2cf84f3ee3af331f0dc5">
        <w:r>
          <w:rPr>
            <w:rStyle w:val="Hyperlink"/>
          </w:rPr>
          <w:t xml:space="preserve">Section 5.3</w:t>
        </w:r>
      </w:hyperlink>
      <w:r>
        <w:t xml:space="preserve">.</w:t>
      </w:r>
    </w:p>
    <w:p>
      <w:pPr>
        <w:pStyle w:val="FirstParagraph"/>
      </w:pPr>
    </w:p>
    <w:p>
      <w:r>
        <w:bookmarkStart w:id="12" w:name="12"/>
        <w:bookmarkEnd w:id="12"/>
      </w:r>
    </w:p>
    <w:bookmarkEnd w:id="20"/>
    <w:bookmarkStart w:id="24" w:name="ugt-ddi-network"/>
    <w:p>
      <w:pPr>
        <w:pStyle w:val="Heading2"/>
      </w:pPr>
      <w:r>
        <w:t xml:space="preserve">1.2 UGT DDI Network</w:t>
      </w:r>
    </w:p>
    <w:p>
      <w:pPr>
        <w:pStyle w:val="FirstParagraph"/>
      </w:pPr>
      <w:r>
        <w:t xml:space="preserve">The following perpetrator compounds were selected:</w:t>
      </w:r>
    </w:p>
    <w:p>
      <w:pPr>
        <w:numPr>
          <w:ilvl w:val="0"/>
          <w:numId w:val="1002"/>
        </w:numPr>
      </w:pPr>
      <w:r>
        <w:rPr>
          <w:bCs/>
          <w:b/>
        </w:rPr>
        <w:t xml:space="preserve">Atazanavir</w:t>
      </w:r>
      <w:r>
        <w:t xml:space="preserve"> </w:t>
      </w:r>
      <w:r>
        <w:t xml:space="preserve">(UGT1A1 inhibitor)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https://github.com/Open-Systems-Pharmacology/Atazanavir-Model/releases/tag/v1.1</w:t>
      </w:r>
    </w:p>
    <w:p>
      <w:pPr>
        <w:numPr>
          <w:ilvl w:val="0"/>
          <w:numId w:val="1002"/>
        </w:numPr>
      </w:pPr>
      <w:r>
        <w:rPr>
          <w:bCs/>
          <w:b/>
        </w:rPr>
        <w:t xml:space="preserve">Mefenamic acid</w:t>
      </w:r>
      <w:r>
        <w:t xml:space="preserve"> </w:t>
      </w:r>
      <w:r>
        <w:t xml:space="preserve">(UGT1A9 inhibitor)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https://github.com/Open-Systems-Pharmacology/Mefenamic-acid-Model/releases/tag/v1.1</w:t>
      </w:r>
    </w:p>
    <w:p>
      <w:pPr>
        <w:pStyle w:val="FirstParagraph"/>
      </w:pPr>
      <w:r>
        <w:t xml:space="preserve">The following sensitive substrates as victim drugs were selected:</w:t>
      </w:r>
    </w:p>
    <w:p>
      <w:pPr>
        <w:numPr>
          <w:ilvl w:val="0"/>
          <w:numId w:val="1003"/>
        </w:numPr>
      </w:pPr>
      <w:r>
        <w:rPr>
          <w:bCs/>
          <w:b/>
        </w:rPr>
        <w:t xml:space="preserve">Raltegravir</w:t>
      </w:r>
      <w:r>
        <w:t xml:space="preserve"> </w:t>
      </w:r>
      <w:r>
        <w:t xml:space="preserve">(UGT1A1 substrate)</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https://github.com/Open-Systems-Pharmacology/Raltegravir-Model/releases/tag/v1.2</w:t>
      </w:r>
    </w:p>
    <w:p>
      <w:pPr>
        <w:numPr>
          <w:ilvl w:val="0"/>
          <w:numId w:val="1003"/>
        </w:numPr>
      </w:pPr>
      <w:r>
        <w:rPr>
          <w:bCs/>
          <w:b/>
        </w:rPr>
        <w:t xml:space="preserve">Dapagliflozin</w:t>
      </w:r>
      <w:r>
        <w:t xml:space="preserve"> </w:t>
      </w:r>
      <w:r>
        <w:t xml:space="preserve">(UGT1A9 substrate):</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https://github.com/Open-Systems-Pharmacology/Dapagliflozin-Model/releases/tag/v1.1</w:t>
      </w:r>
    </w:p>
    <w:p>
      <w:pPr>
        <w:pStyle w:val="FirstParagraph"/>
      </w:pPr>
      <w:r>
        <w:t xml:space="preserve">The published DDI studies between the respective perpetrators and victim drugs were simulated and compared to observed data. The following sections give an overview of the clinical studies being part of this qualification report. The respective data identifier (DataID) refers to the</w:t>
      </w:r>
      <w:r>
        <w:t xml:space="preserve"> </w:t>
      </w:r>
      <w:r>
        <w:rPr>
          <w:bCs/>
          <w:b/>
        </w:rPr>
        <w:t xml:space="preserve">ID</w:t>
      </w:r>
      <w:r>
        <w:t xml:space="preserve"> </w:t>
      </w:r>
      <w:r>
        <w:t xml:space="preserve">of the dataset in the</w:t>
      </w:r>
      <w:r>
        <w:t xml:space="preserve"> </w:t>
      </w:r>
      <w:hyperlink r:id="rId21">
        <w:r>
          <w:rPr>
            <w:rStyle w:val="Hyperlink"/>
          </w:rPr>
          <w:t xml:space="preserve">OSP PK database</w:t>
        </w:r>
      </w:hyperlink>
      <w:r>
        <w:t xml:space="preserve">.</w:t>
      </w:r>
    </w:p>
    <w:p>
      <w:pPr>
        <w:pStyle w:val="BodyText"/>
      </w:pPr>
    </w:p>
    <w:p>
      <w:r>
        <w:bookmarkStart w:id="121" w:name="121"/>
        <w:bookmarkEnd w:id="121"/>
      </w:r>
    </w:p>
    <w:bookmarkStart w:id="22" w:name="atazanavir---raltegravir-ddi"/>
    <w:p>
      <w:pPr>
        <w:pStyle w:val="Heading3"/>
      </w:pPr>
      <w:r>
        <w:t xml:space="preserve">Atazanavir - Raltegravir DDI</w:t>
      </w:r>
    </w:p>
    <w:p>
      <w:pPr>
        <w:pStyle w:val="FirstParagraph"/>
      </w:pPr>
      <w:r>
        <w:t xml:space="preserve">The release of the snapshot containing the respective simulations can be found here:</w:t>
      </w:r>
      <w:r>
        <w:t xml:space="preserve"> </w:t>
      </w:r>
      <w:r>
        <w:t xml:space="preserve">https://github.com/Open-Systems-Pharmacology/Atazanavir-Raltegravir-DDI/releases/tag/v1.1.</w:t>
      </w:r>
    </w:p>
    <w:p>
      <w:pPr>
        <w:pStyle w:val="BodyText"/>
      </w:pPr>
      <w:r>
        <w:t xml:space="preserve">The atazanavir / raltegravir interaction was evaluated using four clinical DDI studies (</w:t>
      </w:r>
      <w:hyperlink w:anchor="X47fcd2a435082ab139852f996095019cfce88d0">
        <w:r>
          <w:rPr>
            <w:rStyle w:val="Hyperlink"/>
          </w:rPr>
          <w:t xml:space="preserve">Iwamoto 2008</w:t>
        </w:r>
      </w:hyperlink>
      <w:r>
        <w:t xml:space="preserve">,</w:t>
      </w:r>
      <w:r>
        <w:t xml:space="preserve"> </w:t>
      </w:r>
      <w:hyperlink w:anchor="X47fcd2a435082ab139852f996095019cfce88d0">
        <w:r>
          <w:rPr>
            <w:rStyle w:val="Hyperlink"/>
          </w:rPr>
          <w:t xml:space="preserve">Krishna 2008</w:t>
        </w:r>
      </w:hyperlink>
      <w:r>
        <w:t xml:space="preserve">,</w:t>
      </w:r>
      <w:r>
        <w:t xml:space="preserve"> </w:t>
      </w:r>
      <w:hyperlink w:anchor="X47fcd2a435082ab139852f996095019cfce88d0">
        <w:r>
          <w:rPr>
            <w:rStyle w:val="Hyperlink"/>
          </w:rPr>
          <w:t xml:space="preserve">Neely 2010</w:t>
        </w:r>
      </w:hyperlink>
      <w:r>
        <w:t xml:space="preserve">,</w:t>
      </w:r>
      <w:r>
        <w:t xml:space="preserve"> </w:t>
      </w:r>
      <w:hyperlink w:anchor="X47fcd2a435082ab139852f996095019cfce88d0">
        <w:r>
          <w:rPr>
            <w:rStyle w:val="Hyperlink"/>
          </w:rPr>
          <w:t xml:space="preserve">Zhu 2010</w:t>
        </w:r>
      </w:hyperlink>
      <w:r>
        <w:t xml:space="preserve">).</w:t>
      </w:r>
    </w:p>
    <w:tbl>
      <w:tblPr>
        <w:tblStyle w:val="Table"/>
        <w:tblW w:type="pct" w:w="5000"/>
        <w:tblLook w:firstRow="1" w:lastRow="0" w:firstColumn="0" w:lastColumn="0" w:noHBand="0" w:noVBand="0" w:val="0020"/>
        <w:jc w:val="start"/>
      </w:tblPr>
      <w:tblGrid>
        <w:gridCol w:w="377"/>
        <w:gridCol w:w="377"/>
        <w:gridCol w:w="1508"/>
        <w:gridCol w:w="3771"/>
        <w:gridCol w:w="1885"/>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571</w:t>
            </w:r>
          </w:p>
        </w:tc>
        <w:tc>
          <w:tcPr/>
          <w:p>
            <w:pPr>
              <w:pStyle w:val="Compact"/>
              <w:jc w:val="left"/>
            </w:pPr>
            <w:r>
              <w:t xml:space="preserve">UGT1A1</w:t>
            </w:r>
          </w:p>
        </w:tc>
        <w:tc>
          <w:tcPr/>
          <w:p>
            <w:pPr>
              <w:pStyle w:val="Compact"/>
              <w:jc w:val="left"/>
            </w:pPr>
            <w:r>
              <w:t xml:space="preserve">Atazanavir / raltegravir</w:t>
            </w:r>
          </w:p>
        </w:tc>
        <w:tc>
          <w:tcPr/>
          <w:p>
            <w:pPr>
              <w:pStyle w:val="Compact"/>
              <w:jc w:val="left"/>
            </w:pPr>
            <w:r>
              <w:t xml:space="preserve">Atazanavir: 400 mg once daily dosing</w:t>
            </w:r>
            <w:r>
              <w:t xml:space="preserve">Raltegravir: 100 mg single dose on day 7 simultaneous with the 7th dose of atazanavir</w:t>
            </w:r>
          </w:p>
        </w:tc>
        <w:tc>
          <w:tcPr/>
          <w:p>
            <w:pPr>
              <w:pStyle w:val="Compact"/>
              <w:jc w:val="left"/>
            </w:pPr>
            <w:hyperlink w:anchor="X47fcd2a435082ab139852f996095019cfce88d0">
              <w:r>
                <w:rPr>
                  <w:rStyle w:val="Hyperlink"/>
                </w:rPr>
                <w:t xml:space="preserve">Iwamoto 2008</w:t>
              </w:r>
            </w:hyperlink>
          </w:p>
        </w:tc>
      </w:tr>
      <w:tr>
        <w:tc>
          <w:tcPr/>
          <w:p>
            <w:pPr>
              <w:pStyle w:val="Compact"/>
              <w:jc w:val="left"/>
            </w:pPr>
            <w:r>
              <w:t xml:space="preserve">575</w:t>
            </w:r>
          </w:p>
        </w:tc>
        <w:tc>
          <w:tcPr/>
          <w:p>
            <w:pPr>
              <w:pStyle w:val="Compact"/>
              <w:jc w:val="left"/>
            </w:pPr>
            <w:r>
              <w:t xml:space="preserve">UGT1A1</w:t>
            </w:r>
          </w:p>
        </w:tc>
        <w:tc>
          <w:tcPr/>
          <w:p>
            <w:pPr>
              <w:pStyle w:val="Compact"/>
              <w:jc w:val="left"/>
            </w:pPr>
            <w:r>
              <w:t xml:space="preserve">Atazanavir / raltegravir</w:t>
            </w:r>
          </w:p>
        </w:tc>
        <w:tc>
          <w:tcPr/>
          <w:p>
            <w:pPr>
              <w:pStyle w:val="Compact"/>
              <w:jc w:val="left"/>
            </w:pPr>
            <w:r>
              <w:t xml:space="preserve">Atazanavir: 400 mg once daily dosing</w:t>
            </w:r>
            <w:r>
              <w:t xml:space="preserve">Raltegravir: 1200 mg single dose on day 7 simultaneous with the 7th dose of atazanavir</w:t>
            </w:r>
          </w:p>
        </w:tc>
        <w:tc>
          <w:tcPr/>
          <w:p>
            <w:pPr>
              <w:pStyle w:val="Compact"/>
              <w:jc w:val="left"/>
            </w:pPr>
            <w:hyperlink w:anchor="X47fcd2a435082ab139852f996095019cfce88d0">
              <w:r>
                <w:rPr>
                  <w:rStyle w:val="Hyperlink"/>
                </w:rPr>
                <w:t xml:space="preserve">Krishna 2008,</w:t>
              </w:r>
            </w:hyperlink>
          </w:p>
        </w:tc>
      </w:tr>
      <w:tr>
        <w:tc>
          <w:tcPr/>
          <w:p>
            <w:pPr>
              <w:pStyle w:val="Compact"/>
              <w:jc w:val="left"/>
            </w:pPr>
            <w:r>
              <w:t xml:space="preserve">573</w:t>
            </w:r>
          </w:p>
        </w:tc>
        <w:tc>
          <w:tcPr/>
          <w:p>
            <w:pPr>
              <w:pStyle w:val="Compact"/>
              <w:jc w:val="left"/>
            </w:pPr>
            <w:r>
              <w:t xml:space="preserve">UGT1A1</w:t>
            </w:r>
          </w:p>
        </w:tc>
        <w:tc>
          <w:tcPr/>
          <w:p>
            <w:pPr>
              <w:pStyle w:val="Compact"/>
              <w:jc w:val="left"/>
            </w:pPr>
            <w:r>
              <w:t xml:space="preserve">Atazanavir / raltegravir</w:t>
            </w:r>
          </w:p>
        </w:tc>
        <w:tc>
          <w:tcPr/>
          <w:p>
            <w:pPr>
              <w:pStyle w:val="Compact"/>
              <w:jc w:val="left"/>
            </w:pPr>
            <w:r>
              <w:t xml:space="preserve">Atazanavir: 400 mg once daily dosing</w:t>
            </w:r>
            <w:r>
              <w:t xml:space="preserve">Raltegravir: 400 mg once daily dosing (control phase 400 mg twice daily)</w:t>
            </w:r>
            <w:r>
              <w:t xml:space="preserve">DDI assessment on day 8</w:t>
            </w:r>
          </w:p>
        </w:tc>
        <w:tc>
          <w:tcPr/>
          <w:p>
            <w:pPr>
              <w:pStyle w:val="Compact"/>
              <w:jc w:val="left"/>
            </w:pPr>
            <w:hyperlink w:anchor="X47fcd2a435082ab139852f996095019cfce88d0">
              <w:r>
                <w:rPr>
                  <w:rStyle w:val="Hyperlink"/>
                </w:rPr>
                <w:t xml:space="preserve">Neely 2010</w:t>
              </w:r>
            </w:hyperlink>
          </w:p>
        </w:tc>
      </w:tr>
      <w:tr>
        <w:tc>
          <w:tcPr/>
          <w:p>
            <w:pPr>
              <w:pStyle w:val="Compact"/>
              <w:jc w:val="left"/>
            </w:pPr>
            <w:r>
              <w:t xml:space="preserve">579</w:t>
            </w:r>
          </w:p>
        </w:tc>
        <w:tc>
          <w:tcPr/>
          <w:p>
            <w:pPr>
              <w:pStyle w:val="Compact"/>
              <w:jc w:val="left"/>
            </w:pPr>
            <w:r>
              <w:t xml:space="preserve">UGT1A1</w:t>
            </w:r>
          </w:p>
        </w:tc>
        <w:tc>
          <w:tcPr/>
          <w:p>
            <w:pPr>
              <w:pStyle w:val="Compact"/>
              <w:jc w:val="left"/>
            </w:pPr>
            <w:r>
              <w:t xml:space="preserve">Atazanavir / raltegravir</w:t>
            </w:r>
          </w:p>
        </w:tc>
        <w:tc>
          <w:tcPr/>
          <w:p>
            <w:pPr>
              <w:pStyle w:val="Compact"/>
              <w:jc w:val="left"/>
            </w:pPr>
            <w:r>
              <w:t xml:space="preserve">Atazanavir: 300 mg twice daily dosing</w:t>
            </w:r>
            <w:r>
              <w:t xml:space="preserve">Raltegravir: 400 mg twice daily dosing</w:t>
            </w:r>
            <w:r>
              <w:t xml:space="preserve"> </w:t>
            </w:r>
            <w:r>
              <w:t xml:space="preserve">DDI assessment on day 27</w:t>
            </w:r>
          </w:p>
        </w:tc>
        <w:tc>
          <w:tcPr/>
          <w:p>
            <w:pPr>
              <w:pStyle w:val="Compact"/>
              <w:jc w:val="left"/>
            </w:pPr>
            <w:hyperlink w:anchor="X47fcd2a435082ab139852f996095019cfce88d0">
              <w:r>
                <w:rPr>
                  <w:rStyle w:val="Hyperlink"/>
                </w:rPr>
                <w:t xml:space="preserve">Zhu 2010</w:t>
              </w:r>
            </w:hyperlink>
          </w:p>
        </w:tc>
      </w:tr>
    </w:tbl>
    <w:p>
      <w:pPr>
        <w:pStyle w:val="BodyText"/>
      </w:pPr>
    </w:p>
    <w:p>
      <w:r>
        <w:bookmarkStart w:id="122" w:name="122"/>
        <w:bookmarkEnd w:id="122"/>
      </w:r>
    </w:p>
    <w:bookmarkEnd w:id="22"/>
    <w:bookmarkStart w:id="23" w:name="mefenamic-acid---dapagliflozin-ddi"/>
    <w:p>
      <w:pPr>
        <w:pStyle w:val="Heading3"/>
      </w:pPr>
      <w:r>
        <w:t xml:space="preserve">Mefenamic acid - Dapagliflozin DDI</w:t>
      </w:r>
    </w:p>
    <w:p>
      <w:pPr>
        <w:pStyle w:val="FirstParagraph"/>
      </w:pPr>
      <w:r>
        <w:t xml:space="preserve">The release of the snapshot containing the respective simulations can be found here:</w:t>
      </w:r>
      <w:r>
        <w:t xml:space="preserve"> </w:t>
      </w:r>
      <w:r>
        <w:t xml:space="preserve">https://github.com/Open-Systems-Pharmacology/Mefenamic_acid-Dapagliflozin-DDI/releases/tag/v1.1.</w:t>
      </w:r>
    </w:p>
    <w:p>
      <w:pPr>
        <w:pStyle w:val="BodyText"/>
      </w:pPr>
      <w:r>
        <w:t xml:space="preserve">The mefenamic acid / dapagliflozin interaction was evaluated using 1 clinical DDI study (</w:t>
      </w:r>
      <w:hyperlink w:anchor="X47fcd2a435082ab139852f996095019cfce88d0">
        <w:r>
          <w:rPr>
            <w:rStyle w:val="Hyperlink"/>
          </w:rPr>
          <w:t xml:space="preserve">Kasichayanula 2013</w:t>
        </w:r>
      </w:hyperlink>
      <w:r>
        <w:t xml:space="preserve">).</w:t>
      </w:r>
    </w:p>
    <w:tbl>
      <w:tblPr>
        <w:tblStyle w:val="Table"/>
        <w:tblW w:type="pct" w:w="5000"/>
        <w:tblLook w:firstRow="1" w:lastRow="0" w:firstColumn="0" w:lastColumn="0" w:noHBand="0" w:noVBand="0" w:val="0020"/>
        <w:jc w:val="start"/>
      </w:tblPr>
      <w:tblGrid>
        <w:gridCol w:w="346"/>
        <w:gridCol w:w="346"/>
        <w:gridCol w:w="1734"/>
        <w:gridCol w:w="3468"/>
        <w:gridCol w:w="2023"/>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642</w:t>
            </w:r>
          </w:p>
        </w:tc>
        <w:tc>
          <w:tcPr/>
          <w:p>
            <w:pPr>
              <w:pStyle w:val="Compact"/>
              <w:jc w:val="left"/>
            </w:pPr>
            <w:r>
              <w:t xml:space="preserve">UGT1A9</w:t>
            </w:r>
          </w:p>
        </w:tc>
        <w:tc>
          <w:tcPr/>
          <w:p>
            <w:pPr>
              <w:pStyle w:val="Compact"/>
              <w:jc w:val="left"/>
            </w:pPr>
            <w:r>
              <w:t xml:space="preserve">Mefenamic acid / dapagliflozin</w:t>
            </w:r>
          </w:p>
        </w:tc>
        <w:tc>
          <w:tcPr/>
          <w:p>
            <w:pPr>
              <w:pStyle w:val="Compact"/>
              <w:jc w:val="left"/>
            </w:pPr>
            <w:r>
              <w:t xml:space="preserve">Mefenamic acid: 500 mg loading dose, followed by 8 doses of 250 mg mefenamic acid every 6 hours</w:t>
            </w:r>
            <w:r>
              <w:t xml:space="preserve">Dapagliflozin: 10 mg single dose on day 2 simultaneous with the 5th dose of mefenamic acid (24 hours after the first mefenamic acid dose)</w:t>
            </w:r>
          </w:p>
        </w:tc>
        <w:tc>
          <w:tcPr/>
          <w:p>
            <w:pPr>
              <w:pStyle w:val="Compact"/>
              <w:jc w:val="left"/>
            </w:pPr>
            <w:hyperlink w:anchor="X47fcd2a435082ab139852f996095019cfce88d0">
              <w:r>
                <w:rPr>
                  <w:rStyle w:val="Hyperlink"/>
                </w:rPr>
                <w:t xml:space="preserve">Kasichayanula 2013</w:t>
              </w:r>
            </w:hyperlink>
          </w:p>
        </w:tc>
      </w:tr>
    </w:tbl>
    <w:p>
      <w:pPr>
        <w:pStyle w:val="BodyText"/>
      </w:pPr>
    </w:p>
    <w:p>
      <w:r>
        <w:bookmarkStart w:id="2" w:name="2"/>
        <w:bookmarkEnd w:id="2"/>
      </w:r>
    </w:p>
    <w:bookmarkEnd w:id="23"/>
    <w:bookmarkEnd w:id="24"/>
    <w:bookmarkEnd w:id="25"/>
    <w:bookmarkStart w:id="106" w:name="Xc6c989acc708855b83113843b59b63aeabd2dc0"/>
    <w:p>
      <w:pPr>
        <w:pStyle w:val="Heading1"/>
      </w:pPr>
      <w:r>
        <w:t xml:space="preserve">2 Qualification of Use Case UGT-mediated DDI</w:t>
      </w:r>
    </w:p>
    <w:p>
      <w:pPr>
        <w:pStyle w:val="FirstParagraph"/>
      </w:pPr>
    </w:p>
    <w:p>
      <w:r>
        <w:br w:type="page"/>
      </w:r>
    </w:p>
    <w:p>
      <w:r>
        <w:bookmarkStart w:id="figure-2-1" w:name="figure-2-1"/>
        <w:bookmarkEnd w:id="figure-2-1"/>
      </w:r>
    </w:p>
    <w:p>
      <w:pPr>
        <w:pStyle w:val="BodyText"/>
      </w:pPr>
      <w:r>
        <w:drawing>
          <wp:inline>
            <wp:extent cx="5969000" cy="4150550"/>
            <wp:effectExtent b="0" l="0" r="0" t="0"/>
            <wp:docPr descr="" title="" id="27" name="Picture"/>
            <a:graphic>
              <a:graphicData uri="http://schemas.openxmlformats.org/drawingml/2006/picture">
                <pic:pic>
                  <pic:nvPicPr>
                    <pic:cNvPr descr="images/006_section_2/DDIRatio_1_ddi_ratio_plot_AUC_predictedVsObserved.png" id="28" name="Picture"/>
                    <pic:cNvPicPr>
                      <a:picLocks noChangeArrowheads="1" noChangeAspect="1"/>
                    </pic:cNvPicPr>
                  </pic:nvPicPr>
                  <pic:blipFill>
                    <a:blip r:embed="rId26"/>
                    <a:stretch>
                      <a:fillRect/>
                    </a:stretch>
                  </pic:blipFill>
                  <pic:spPr bwMode="auto">
                    <a:xfrm>
                      <a:off x="0" y="0"/>
                      <a:ext cx="5969000" cy="4150550"/>
                    </a:xfrm>
                    <a:prstGeom prst="rect">
                      <a:avLst/>
                    </a:prstGeom>
                    <a:noFill/>
                    <a:ln w="9525">
                      <a:noFill/>
                      <a:headEnd/>
                      <a:tailEnd/>
                    </a:ln>
                  </pic:spPr>
                </pic:pic>
              </a:graphicData>
            </a:graphic>
          </wp:inline>
        </w:drawing>
      </w:r>
    </w:p>
    <w:p>
      <w:pPr>
        <w:pStyle w:val="BodyText"/>
      </w:pPr>
      <w:r>
        <w:rPr>
          <w:bCs/>
          <w:b/>
        </w:rPr>
        <w:t xml:space="preserve">Figure 2-1: UGT1A1 and UGT1A9 Inhibition DDI. Predicted vs. Observed AUC Ratio.</w:t>
      </w:r>
    </w:p>
    <w:p>
      <w:pPr>
        <w:pStyle w:val="BodyText"/>
      </w:pPr>
      <w:r>
        <w:t xml:space="preserve"> </w:t>
      </w:r>
    </w:p>
    <w:p>
      <w:pPr>
        <w:pStyle w:val="BodyText"/>
      </w:pPr>
    </w:p>
    <w:p>
      <w:r>
        <w:br w:type="page"/>
      </w:r>
    </w:p>
    <w:p>
      <w:r>
        <w:bookmarkStart w:id="figure-2-2" w:name="figure-2-2"/>
        <w:bookmarkEnd w:id="figure-2-2"/>
      </w:r>
    </w:p>
    <w:p>
      <w:pPr>
        <w:pStyle w:val="BodyText"/>
      </w:pPr>
      <w:r>
        <w:drawing>
          <wp:inline>
            <wp:extent cx="5969000" cy="2903178"/>
            <wp:effectExtent b="0" l="0" r="0" t="0"/>
            <wp:docPr descr="" title="" id="30" name="Picture"/>
            <a:graphic>
              <a:graphicData uri="http://schemas.openxmlformats.org/drawingml/2006/picture">
                <pic:pic>
                  <pic:nvPicPr>
                    <pic:cNvPr descr="images/006_section_2/DDIRatio_1_ddi_ratio_plot_AUC_residualsVsObserved.png" id="31" name="Picture"/>
                    <pic:cNvPicPr>
                      <a:picLocks noChangeArrowheads="1" noChangeAspect="1"/>
                    </pic:cNvPicPr>
                  </pic:nvPicPr>
                  <pic:blipFill>
                    <a:blip r:embed="rId29"/>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rPr>
          <w:bCs/>
          <w:b/>
        </w:rPr>
        <w:t xml:space="preserve">Figure 2-2: UGT1A1 and UGT1A9 Inhibition DDI. Predicted/Observed vs. Observed AUC Ratio.</w:t>
      </w:r>
    </w:p>
    <w:p>
      <w:pPr>
        <w:pStyle w:val="BodyText"/>
      </w:pPr>
      <w:r>
        <w:t xml:space="preserve"> </w:t>
      </w:r>
    </w:p>
    <w:p>
      <w:pPr>
        <w:pStyle w:val="BodyText"/>
      </w:pPr>
    </w:p>
    <w:p>
      <w:r>
        <w:br w:type="page"/>
      </w:r>
    </w:p>
    <w:p>
      <w:r>
        <w:bookmarkStart w:id="figure-2-3" w:name="figure-2-3"/>
        <w:bookmarkEnd w:id="figure-2-3"/>
      </w:r>
    </w:p>
    <w:p>
      <w:pPr>
        <w:pStyle w:val="BodyText"/>
      </w:pPr>
      <w:r>
        <w:drawing>
          <wp:inline>
            <wp:extent cx="5969000" cy="4150550"/>
            <wp:effectExtent b="0" l="0" r="0" t="0"/>
            <wp:docPr descr="" title="" id="33" name="Picture"/>
            <a:graphic>
              <a:graphicData uri="http://schemas.openxmlformats.org/drawingml/2006/picture">
                <pic:pic>
                  <pic:nvPicPr>
                    <pic:cNvPr descr="images/006_section_2/DDIRatio_1_ddi_ratio_plot_CMAX_predictedVsObserved.png" id="34" name="Picture"/>
                    <pic:cNvPicPr>
                      <a:picLocks noChangeArrowheads="1" noChangeAspect="1"/>
                    </pic:cNvPicPr>
                  </pic:nvPicPr>
                  <pic:blipFill>
                    <a:blip r:embed="rId32"/>
                    <a:stretch>
                      <a:fillRect/>
                    </a:stretch>
                  </pic:blipFill>
                  <pic:spPr bwMode="auto">
                    <a:xfrm>
                      <a:off x="0" y="0"/>
                      <a:ext cx="5969000" cy="4150550"/>
                    </a:xfrm>
                    <a:prstGeom prst="rect">
                      <a:avLst/>
                    </a:prstGeom>
                    <a:noFill/>
                    <a:ln w="9525">
                      <a:noFill/>
                      <a:headEnd/>
                      <a:tailEnd/>
                    </a:ln>
                  </pic:spPr>
                </pic:pic>
              </a:graphicData>
            </a:graphic>
          </wp:inline>
        </w:drawing>
      </w:r>
    </w:p>
    <w:p>
      <w:pPr>
        <w:pStyle w:val="BodyText"/>
      </w:pPr>
      <w:r>
        <w:rPr>
          <w:bCs/>
          <w:b/>
        </w:rPr>
        <w:t xml:space="preserve">Figure 2-3: UGT1A1 and UGT1A9 Inhibition DDI. Predicted vs. Observed CMAX Ratio.</w:t>
      </w:r>
    </w:p>
    <w:p>
      <w:pPr>
        <w:pStyle w:val="BodyText"/>
      </w:pPr>
      <w:r>
        <w:t xml:space="preserve"> </w:t>
      </w:r>
    </w:p>
    <w:p>
      <w:pPr>
        <w:pStyle w:val="BodyText"/>
      </w:pPr>
    </w:p>
    <w:p>
      <w:r>
        <w:br w:type="page"/>
      </w:r>
    </w:p>
    <w:p>
      <w:r>
        <w:bookmarkStart w:id="figure-2-4" w:name="figure-2-4"/>
        <w:bookmarkEnd w:id="figure-2-4"/>
      </w:r>
    </w:p>
    <w:p>
      <w:pPr>
        <w:pStyle w:val="BodyText"/>
      </w:pPr>
      <w:r>
        <w:drawing>
          <wp:inline>
            <wp:extent cx="5969000" cy="2903178"/>
            <wp:effectExtent b="0" l="0" r="0" t="0"/>
            <wp:docPr descr="" title="" id="36" name="Picture"/>
            <a:graphic>
              <a:graphicData uri="http://schemas.openxmlformats.org/drawingml/2006/picture">
                <pic:pic>
                  <pic:nvPicPr>
                    <pic:cNvPr descr="images/006_section_2/DDIRatio_1_ddi_ratio_plot_CMAX_residualsVsObserved.png" id="37" name="Picture"/>
                    <pic:cNvPicPr>
                      <a:picLocks noChangeArrowheads="1" noChangeAspect="1"/>
                    </pic:cNvPicPr>
                  </pic:nvPicPr>
                  <pic:blipFill>
                    <a:blip r:embed="rId35"/>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rPr>
          <w:bCs/>
          <w:b/>
        </w:rPr>
        <w:t xml:space="preserve">Figure 2-4: UGT1A1 and UGT1A9 Inhibition DDI. Predicted/Observed vs. Observed CMAX Ratio.</w:t>
      </w:r>
    </w:p>
    <w:p>
      <w:pPr>
        <w:pStyle w:val="BodyText"/>
      </w:pPr>
      <w:r>
        <w:t xml:space="preserve"> </w:t>
      </w:r>
    </w:p>
    <w:p>
      <w:pPr>
        <w:pStyle w:val="BodyText"/>
      </w:pPr>
    </w:p>
    <w:p>
      <w:r>
        <w:br w:type="page"/>
      </w:r>
    </w:p>
    <w:p>
      <w:r>
        <w:bookmarkStart w:id="table-2-1" w:name="table-2-1"/>
        <w:bookmarkEnd w:id="table-2-1"/>
      </w:r>
    </w:p>
    <w:p>
      <w:pPr>
        <w:pStyle w:val="BodyText"/>
      </w:pPr>
      <w:r>
        <w:rPr>
          <w:bCs/>
          <w:b/>
        </w:rPr>
        <w:t xml:space="preserve">Table 2-1: GMFE for UGT1A1 and UGT1A9 Inhibition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1.13</w:t>
            </w:r>
          </w:p>
        </w:tc>
      </w:tr>
      <w:tr>
        <w:tc>
          <w:tcPr/>
          <w:p>
            <w:pPr>
              <w:pStyle w:val="Compact"/>
              <w:jc w:val="left"/>
            </w:pPr>
            <w:r>
              <w:t xml:space="preserve">CMAX</w:t>
            </w:r>
          </w:p>
        </w:tc>
        <w:tc>
          <w:tcPr/>
          <w:p>
            <w:pPr>
              <w:pStyle w:val="Compact"/>
              <w:jc w:val="left"/>
            </w:pPr>
            <w:r>
              <w:t xml:space="preserve">1.10</w:t>
            </w:r>
          </w:p>
        </w:tc>
      </w:tr>
    </w:tbl>
    <w:p>
      <w:pPr>
        <w:pStyle w:val="BodyText"/>
      </w:pPr>
      <w:r>
        <w:t xml:space="preserve"> </w:t>
      </w:r>
    </w:p>
    <w:p>
      <w:pPr>
        <w:pStyle w:val="BodyText"/>
      </w:pPr>
    </w:p>
    <w:p>
      <w:r>
        <w:br w:type="page"/>
      </w:r>
    </w:p>
    <w:p>
      <w:r>
        <w:bookmarkStart w:id="table-2-2" w:name="table-2-2"/>
        <w:bookmarkEnd w:id="table-2-2"/>
      </w:r>
    </w:p>
    <w:p>
      <w:pPr>
        <w:pStyle w:val="BodyText"/>
      </w:pPr>
      <w:r>
        <w:rPr>
          <w:bCs/>
          <w:b/>
        </w:rPr>
        <w:t xml:space="preserve">Table 2-2: Summary table for UGT1A1 and UGT1A9 Inhibition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5</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5</w:t>
            </w:r>
          </w:p>
        </w:tc>
        <w:tc>
          <w:tcPr/>
          <w:p>
            <w:pPr>
              <w:pStyle w:val="Compact"/>
              <w:jc w:val="left"/>
            </w:pPr>
            <w:r>
              <w:t xml:space="preserve">100</w:t>
            </w:r>
          </w:p>
        </w:tc>
      </w:tr>
    </w:tbl>
    <w:p>
      <w:pPr>
        <w:pStyle w:val="BodyText"/>
      </w:pPr>
      <w:r>
        <w:t xml:space="preserve"> </w:t>
      </w:r>
    </w:p>
    <w:p>
      <w:pPr>
        <w:pStyle w:val="BodyText"/>
      </w:pPr>
    </w:p>
    <w:p>
      <w:r>
        <w:br w:type="page"/>
      </w:r>
    </w:p>
    <w:p>
      <w:r>
        <w:bookmarkStart w:id="table-2-3" w:name="table-2-3"/>
        <w:bookmarkEnd w:id="table-2-3"/>
      </w:r>
    </w:p>
    <w:p>
      <w:pPr>
        <w:pStyle w:val="BodyText"/>
      </w:pPr>
      <w:r>
        <w:rPr>
          <w:bCs/>
          <w:b/>
        </w:rPr>
        <w:t xml:space="preserve">Table 2-3: Summary table for UGT1A1 and UGT1A9 Inhibition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80</w:t>
            </w:r>
          </w:p>
        </w:tc>
      </w:tr>
      <w:tr>
        <w:tc>
          <w:tcPr/>
          <w:p>
            <w:pPr>
              <w:pStyle w:val="Compact"/>
              <w:jc w:val="left"/>
            </w:pPr>
            <w:r>
              <w:t xml:space="preserve">Points within 2 fold</w:t>
            </w:r>
          </w:p>
        </w:tc>
        <w:tc>
          <w:tcPr/>
          <w:p>
            <w:pPr>
              <w:pStyle w:val="Compact"/>
              <w:jc w:val="left"/>
            </w:pPr>
            <w:r>
              <w:t xml:space="preserve">5</w:t>
            </w:r>
          </w:p>
        </w:tc>
        <w:tc>
          <w:tcPr/>
          <w:p>
            <w:pPr>
              <w:pStyle w:val="Compact"/>
              <w:jc w:val="left"/>
            </w:pPr>
            <w:r>
              <w:t xml:space="preserve">100</w:t>
            </w:r>
          </w:p>
        </w:tc>
      </w:tr>
    </w:tbl>
    <w:p>
      <w:pPr>
        <w:pStyle w:val="BodyText"/>
      </w:pPr>
      <w:r>
        <w:t xml:space="preserve"> </w:t>
      </w:r>
    </w:p>
    <w:p>
      <w:pPr>
        <w:pStyle w:val="BodyText"/>
      </w:pPr>
    </w:p>
    <w:p>
      <w:r>
        <w:br w:type="page"/>
      </w:r>
    </w:p>
    <w:p>
      <w:r>
        <w:bookmarkStart w:id="table-2-4" w:name="table-2-4"/>
        <w:bookmarkEnd w:id="table-2-4"/>
      </w:r>
    </w:p>
    <w:p>
      <w:pPr>
        <w:pStyle w:val="BodyText"/>
      </w:pPr>
      <w:r>
        <w:rPr>
          <w:bCs/>
          <w:b/>
        </w:rPr>
        <w:t xml:space="preserve">Table 2-4: Summary table for UGT1A1 and UGT1A9 Inhibition DDI</w:t>
      </w:r>
    </w:p>
    <w:tbl>
      <w:tblPr>
        <w:tblStyle w:val="Table"/>
        <w:tblW w:type="pct" w:w="5000"/>
        <w:tblLook w:firstRow="1" w:lastRow="0" w:firstColumn="0" w:lastColumn="0" w:noHBand="0" w:noVBand="0" w:val="0020"/>
        <w:jc w:val="start"/>
      </w:tblPr>
      <w:tblGrid>
        <w:gridCol w:w="224"/>
        <w:gridCol w:w="2661"/>
        <w:gridCol w:w="577"/>
        <w:gridCol w:w="641"/>
        <w:gridCol w:w="609"/>
        <w:gridCol w:w="609"/>
        <w:gridCol w:w="673"/>
        <w:gridCol w:w="641"/>
        <w:gridCol w:w="641"/>
        <w:gridCol w:w="641"/>
      </w:tblGrid>
      <w:tr>
        <w:trPr>
          <w:tblHeader w:val="true"/>
        </w:trPr>
        <w:tc>
          <w:tcPr/>
          <w:p>
            <w:pPr>
              <w:pStyle w:val="Compact"/>
              <w:jc w:val="left"/>
            </w:pPr>
            <w:r>
              <w:t xml:space="preserve">DataID</w:t>
            </w:r>
          </w:p>
        </w:tc>
        <w:tc>
          <w:tcPr/>
          <w:p>
            <w:pPr>
              <w:pStyle w:val="Compact"/>
              <w:jc w:val="left"/>
            </w:pPr>
            <w:r>
              <w:t xml:space="preserve">Perpetrator</w:t>
            </w:r>
          </w:p>
        </w:tc>
        <w:tc>
          <w:tcPr/>
          <w:p>
            <w:pPr>
              <w:pStyle w:val="Compact"/>
              <w:jc w:val="left"/>
            </w:pPr>
            <w:r>
              <w:t xml:space="preserve">Victim</w:t>
            </w:r>
          </w:p>
        </w:tc>
        <w:tc>
          <w:tcPr/>
          <w:p>
            <w:pPr>
              <w:pStyle w:val="Compact"/>
              <w:jc w:val="left"/>
            </w:pPr>
            <w:r>
              <w:t xml:space="preserve">Predicted AUC Ratio</w:t>
            </w:r>
          </w:p>
        </w:tc>
        <w:tc>
          <w:tcPr/>
          <w:p>
            <w:pPr>
              <w:pStyle w:val="Compact"/>
              <w:jc w:val="left"/>
            </w:pPr>
            <w:r>
              <w:t xml:space="preserve">Observed AUC Ratio</w:t>
            </w:r>
          </w:p>
        </w:tc>
        <w:tc>
          <w:tcPr/>
          <w:p>
            <w:pPr>
              <w:pStyle w:val="Compact"/>
              <w:jc w:val="left"/>
            </w:pPr>
            <w:r>
              <w:t xml:space="preserve">Pred/Obs AUC Ratio</w:t>
            </w:r>
          </w:p>
        </w:tc>
        <w:tc>
          <w:tcPr/>
          <w:p>
            <w:pPr>
              <w:pStyle w:val="Compact"/>
              <w:jc w:val="left"/>
            </w:pPr>
            <w:r>
              <w:t xml:space="preserve">Predicted CMAX Ratio</w:t>
            </w:r>
          </w:p>
        </w:tc>
        <w:tc>
          <w:tcPr/>
          <w:p>
            <w:pPr>
              <w:pStyle w:val="Compact"/>
              <w:jc w:val="left"/>
            </w:pPr>
            <w:r>
              <w:t xml:space="preserve">Observed CMAX Ratio</w:t>
            </w:r>
          </w:p>
        </w:tc>
        <w:tc>
          <w:tcPr/>
          <w:p>
            <w:pPr>
              <w:pStyle w:val="Compact"/>
              <w:jc w:val="left"/>
            </w:pPr>
            <w:r>
              <w:t xml:space="preserve">Pred/Obs CMAX Ratio</w:t>
            </w:r>
          </w:p>
        </w:tc>
        <w:tc>
          <w:tcPr/>
          <w:p>
            <w:pPr>
              <w:pStyle w:val="Compact"/>
              <w:jc w:val="left"/>
            </w:pPr>
            <w:r>
              <w:t xml:space="preserve">Reference</w:t>
            </w:r>
          </w:p>
        </w:tc>
      </w:tr>
      <w:tr>
        <w:tc>
          <w:tcPr/>
          <w:p>
            <w:pPr>
              <w:pStyle w:val="Compact"/>
              <w:jc w:val="left"/>
            </w:pPr>
            <w:r>
              <w:t xml:space="preserve">571</w:t>
            </w:r>
          </w:p>
        </w:tc>
        <w:tc>
          <w:tcPr/>
          <w:p>
            <w:pPr>
              <w:pStyle w:val="Compact"/>
              <w:jc w:val="left"/>
            </w:pPr>
            <w:r>
              <w:t xml:space="preserve">Atazanavir, 400 mg, PO, MD OD (9 days)</w:t>
            </w:r>
          </w:p>
        </w:tc>
        <w:tc>
          <w:tcPr/>
          <w:p>
            <w:pPr>
              <w:pStyle w:val="Compact"/>
              <w:jc w:val="left"/>
            </w:pPr>
            <w:r>
              <w:t xml:space="preserve">Raltegravir, PO</w:t>
            </w:r>
          </w:p>
        </w:tc>
        <w:tc>
          <w:tcPr/>
          <w:p>
            <w:pPr>
              <w:pStyle w:val="Compact"/>
              <w:jc w:val="left"/>
            </w:pPr>
            <w:r>
              <w:t xml:space="preserve">1.45</w:t>
            </w:r>
          </w:p>
        </w:tc>
        <w:tc>
          <w:tcPr/>
          <w:p>
            <w:pPr>
              <w:pStyle w:val="Compact"/>
              <w:jc w:val="left"/>
            </w:pPr>
            <w:r>
              <w:t xml:space="preserve">1.72</w:t>
            </w:r>
          </w:p>
        </w:tc>
        <w:tc>
          <w:tcPr/>
          <w:p>
            <w:pPr>
              <w:pStyle w:val="Compact"/>
              <w:jc w:val="left"/>
            </w:pPr>
            <w:r>
              <w:t xml:space="preserve">0.84</w:t>
            </w:r>
          </w:p>
        </w:tc>
        <w:tc>
          <w:tcPr/>
          <w:p>
            <w:pPr>
              <w:pStyle w:val="Compact"/>
              <w:jc w:val="left"/>
            </w:pPr>
            <w:r>
              <w:t xml:space="preserve">1.35</w:t>
            </w:r>
          </w:p>
        </w:tc>
        <w:tc>
          <w:tcPr/>
          <w:p>
            <w:pPr>
              <w:pStyle w:val="Compact"/>
              <w:jc w:val="left"/>
            </w:pPr>
            <w:r>
              <w:t xml:space="preserve">1.53</w:t>
            </w:r>
          </w:p>
        </w:tc>
        <w:tc>
          <w:tcPr/>
          <w:p>
            <w:pPr>
              <w:pStyle w:val="Compact"/>
              <w:jc w:val="left"/>
            </w:pPr>
            <w:r>
              <w:t xml:space="preserve">0.89</w:t>
            </w:r>
          </w:p>
        </w:tc>
        <w:tc>
          <w:tcPr/>
          <w:p>
            <w:pPr>
              <w:pStyle w:val="Compact"/>
              <w:jc w:val="left"/>
            </w:pPr>
            <w:r>
              <w:t xml:space="preserve">Iwamoto 2008</w:t>
            </w:r>
          </w:p>
        </w:tc>
      </w:tr>
      <w:tr>
        <w:tc>
          <w:tcPr/>
          <w:p>
            <w:pPr>
              <w:pStyle w:val="Compact"/>
              <w:jc w:val="left"/>
            </w:pPr>
            <w:r>
              <w:t xml:space="preserve">573</w:t>
            </w:r>
          </w:p>
        </w:tc>
        <w:tc>
          <w:tcPr/>
          <w:p>
            <w:pPr>
              <w:pStyle w:val="Compact"/>
              <w:jc w:val="left"/>
            </w:pPr>
            <w:r>
              <w:t xml:space="preserve">Atazanavir, 400 mg, PO, MD OD (8 days)</w:t>
            </w:r>
          </w:p>
        </w:tc>
        <w:tc>
          <w:tcPr/>
          <w:p>
            <w:pPr>
              <w:pStyle w:val="Compact"/>
              <w:jc w:val="left"/>
            </w:pPr>
            <w:r>
              <w:t xml:space="preserve">Raltegravir, PO</w:t>
            </w:r>
          </w:p>
        </w:tc>
        <w:tc>
          <w:tcPr/>
          <w:p>
            <w:pPr>
              <w:pStyle w:val="Compact"/>
              <w:jc w:val="left"/>
            </w:pPr>
            <w:r>
              <w:t xml:space="preserve">1.44</w:t>
            </w:r>
          </w:p>
        </w:tc>
        <w:tc>
          <w:tcPr/>
          <w:p>
            <w:pPr>
              <w:pStyle w:val="Compact"/>
              <w:jc w:val="left"/>
            </w:pPr>
            <w:r>
              <w:t xml:space="preserve">1.72</w:t>
            </w:r>
          </w:p>
        </w:tc>
        <w:tc>
          <w:tcPr/>
          <w:p>
            <w:pPr>
              <w:pStyle w:val="Compact"/>
              <w:jc w:val="left"/>
            </w:pPr>
            <w:r>
              <w:t xml:space="preserve">0.84</w:t>
            </w:r>
          </w:p>
        </w:tc>
        <w:tc>
          <w:tcPr/>
          <w:p>
            <w:pPr>
              <w:pStyle w:val="Compact"/>
              <w:jc w:val="left"/>
            </w:pPr>
            <w:r>
              <w:t xml:space="preserve">1.12</w:t>
            </w:r>
          </w:p>
        </w:tc>
        <w:tc>
          <w:tcPr/>
          <w:p>
            <w:pPr>
              <w:pStyle w:val="Compact"/>
              <w:jc w:val="left"/>
            </w:pPr>
            <w:r>
              <w:t xml:space="preserve">1.37</w:t>
            </w:r>
          </w:p>
        </w:tc>
        <w:tc>
          <w:tcPr/>
          <w:p>
            <w:pPr>
              <w:pStyle w:val="Compact"/>
              <w:jc w:val="left"/>
            </w:pPr>
            <w:r>
              <w:t xml:space="preserve">0.82</w:t>
            </w:r>
          </w:p>
        </w:tc>
        <w:tc>
          <w:tcPr/>
          <w:p>
            <w:pPr>
              <w:pStyle w:val="Compact"/>
              <w:jc w:val="left"/>
            </w:pPr>
            <w:r>
              <w:t xml:space="preserve">Neely 2010</w:t>
            </w:r>
          </w:p>
        </w:tc>
      </w:tr>
      <w:tr>
        <w:tc>
          <w:tcPr/>
          <w:p>
            <w:pPr>
              <w:pStyle w:val="Compact"/>
              <w:jc w:val="left"/>
            </w:pPr>
            <w:r>
              <w:t xml:space="preserve">575</w:t>
            </w:r>
          </w:p>
        </w:tc>
        <w:tc>
          <w:tcPr/>
          <w:p>
            <w:pPr>
              <w:pStyle w:val="Compact"/>
              <w:jc w:val="left"/>
            </w:pPr>
            <w:r>
              <w:t xml:space="preserve">Atazanavir, 400 mg, PO, MD OD (9 days)</w:t>
            </w:r>
          </w:p>
        </w:tc>
        <w:tc>
          <w:tcPr/>
          <w:p>
            <w:pPr>
              <w:pStyle w:val="Compact"/>
              <w:jc w:val="left"/>
            </w:pPr>
            <w:r>
              <w:t xml:space="preserve">Raltegravir, PO</w:t>
            </w:r>
          </w:p>
        </w:tc>
        <w:tc>
          <w:tcPr/>
          <w:p>
            <w:pPr>
              <w:pStyle w:val="Compact"/>
              <w:jc w:val="left"/>
            </w:pPr>
            <w:r>
              <w:t xml:space="preserve">1.42</w:t>
            </w:r>
          </w:p>
        </w:tc>
        <w:tc>
          <w:tcPr/>
          <w:p>
            <w:pPr>
              <w:pStyle w:val="Compact"/>
              <w:jc w:val="left"/>
            </w:pPr>
            <w:r>
              <w:t xml:space="preserve">1.67</w:t>
            </w:r>
          </w:p>
        </w:tc>
        <w:tc>
          <w:tcPr/>
          <w:p>
            <w:pPr>
              <w:pStyle w:val="Compact"/>
              <w:jc w:val="left"/>
            </w:pPr>
            <w:r>
              <w:t xml:space="preserve">0.85</w:t>
            </w:r>
          </w:p>
        </w:tc>
        <w:tc>
          <w:tcPr/>
          <w:p>
            <w:pPr>
              <w:pStyle w:val="Compact"/>
              <w:jc w:val="left"/>
            </w:pPr>
            <w:r>
              <w:t xml:space="preserve">1.33</w:t>
            </w:r>
          </w:p>
        </w:tc>
        <w:tc>
          <w:tcPr/>
          <w:p>
            <w:pPr>
              <w:pStyle w:val="Compact"/>
              <w:jc w:val="left"/>
            </w:pPr>
            <w:r>
              <w:t xml:space="preserve">1.16</w:t>
            </w:r>
          </w:p>
        </w:tc>
        <w:tc>
          <w:tcPr/>
          <w:p>
            <w:pPr>
              <w:pStyle w:val="Compact"/>
              <w:jc w:val="left"/>
            </w:pPr>
            <w:r>
              <w:t xml:space="preserve">1.15</w:t>
            </w:r>
          </w:p>
        </w:tc>
        <w:tc>
          <w:tcPr/>
          <w:p>
            <w:pPr>
              <w:pStyle w:val="Compact"/>
              <w:jc w:val="left"/>
            </w:pPr>
            <w:r>
              <w:t xml:space="preserve">Krishna 2016</w:t>
            </w:r>
          </w:p>
        </w:tc>
      </w:tr>
      <w:tr>
        <w:tc>
          <w:tcPr/>
          <w:p>
            <w:pPr>
              <w:pStyle w:val="Compact"/>
              <w:jc w:val="left"/>
            </w:pPr>
            <w:r>
              <w:t xml:space="preserve">579</w:t>
            </w:r>
          </w:p>
        </w:tc>
        <w:tc>
          <w:tcPr/>
          <w:p>
            <w:pPr>
              <w:pStyle w:val="Compact"/>
              <w:jc w:val="left"/>
            </w:pPr>
            <w:r>
              <w:t xml:space="preserve">Atazanavir, 400 mg, PO, MD BID (14 days)</w:t>
            </w:r>
          </w:p>
        </w:tc>
        <w:tc>
          <w:tcPr/>
          <w:p>
            <w:pPr>
              <w:pStyle w:val="Compact"/>
              <w:jc w:val="left"/>
            </w:pPr>
            <w:r>
              <w:t xml:space="preserve">Raltegravir, PO</w:t>
            </w:r>
          </w:p>
        </w:tc>
        <w:tc>
          <w:tcPr/>
          <w:p>
            <w:pPr>
              <w:pStyle w:val="Compact"/>
              <w:jc w:val="left"/>
            </w:pPr>
            <w:r>
              <w:t xml:space="preserve">1.57</w:t>
            </w:r>
          </w:p>
        </w:tc>
        <w:tc>
          <w:tcPr/>
          <w:p>
            <w:pPr>
              <w:pStyle w:val="Compact"/>
              <w:jc w:val="left"/>
            </w:pPr>
            <w:r>
              <w:t xml:space="preserve">1.54</w:t>
            </w:r>
          </w:p>
        </w:tc>
        <w:tc>
          <w:tcPr/>
          <w:p>
            <w:pPr>
              <w:pStyle w:val="Compact"/>
              <w:jc w:val="left"/>
            </w:pPr>
            <w:r>
              <w:t xml:space="preserve">1.02</w:t>
            </w:r>
          </w:p>
        </w:tc>
        <w:tc>
          <w:tcPr/>
          <w:p>
            <w:pPr>
              <w:pStyle w:val="Compact"/>
              <w:jc w:val="left"/>
            </w:pPr>
            <w:r>
              <w:t xml:space="preserve">1.39</w:t>
            </w:r>
          </w:p>
        </w:tc>
        <w:tc>
          <w:tcPr/>
          <w:p>
            <w:pPr>
              <w:pStyle w:val="Compact"/>
              <w:jc w:val="left"/>
            </w:pPr>
            <w:r>
              <w:t xml:space="preserve">1.39</w:t>
            </w:r>
          </w:p>
        </w:tc>
        <w:tc>
          <w:tcPr/>
          <w:p>
            <w:pPr>
              <w:pStyle w:val="Compact"/>
              <w:jc w:val="left"/>
            </w:pPr>
            <w:r>
              <w:t xml:space="preserve">1.00</w:t>
            </w:r>
          </w:p>
        </w:tc>
        <w:tc>
          <w:tcPr/>
          <w:p>
            <w:pPr>
              <w:pStyle w:val="Compact"/>
              <w:jc w:val="left"/>
            </w:pPr>
            <w:r>
              <w:t xml:space="preserve">Zhu 2010</w:t>
            </w:r>
          </w:p>
        </w:tc>
      </w:tr>
      <w:tr>
        <w:tc>
          <w:tcPr/>
          <w:p>
            <w:pPr>
              <w:pStyle w:val="Compact"/>
              <w:jc w:val="left"/>
            </w:pPr>
            <w:r>
              <w:t xml:space="preserve">642</w:t>
            </w:r>
          </w:p>
        </w:tc>
        <w:tc>
          <w:tcPr/>
          <w:p>
            <w:pPr>
              <w:pStyle w:val="Compact"/>
              <w:jc w:val="left"/>
            </w:pPr>
            <w:r>
              <w:t xml:space="preserve">Mefenamic Acid, 500 / 250 mg, PO, MD QID (4 days) with first dose ad loading dose</w:t>
            </w:r>
          </w:p>
        </w:tc>
        <w:tc>
          <w:tcPr/>
          <w:p>
            <w:pPr>
              <w:pStyle w:val="Compact"/>
              <w:jc w:val="left"/>
            </w:pPr>
            <w:r>
              <w:t xml:space="preserve">Dapagliflozin, PO</w:t>
            </w:r>
          </w:p>
        </w:tc>
        <w:tc>
          <w:tcPr/>
          <w:p>
            <w:pPr>
              <w:pStyle w:val="Compact"/>
              <w:jc w:val="left"/>
            </w:pPr>
            <w:r>
              <w:t xml:space="preserve">1.41</w:t>
            </w:r>
          </w:p>
        </w:tc>
        <w:tc>
          <w:tcPr/>
          <w:p>
            <w:pPr>
              <w:pStyle w:val="Compact"/>
              <w:jc w:val="left"/>
            </w:pPr>
            <w:r>
              <w:t xml:space="preserve">1.51</w:t>
            </w:r>
          </w:p>
        </w:tc>
        <w:tc>
          <w:tcPr/>
          <w:p>
            <w:pPr>
              <w:pStyle w:val="Compact"/>
              <w:jc w:val="left"/>
            </w:pPr>
            <w:r>
              <w:t xml:space="preserve">0.93</w:t>
            </w:r>
          </w:p>
        </w:tc>
        <w:tc>
          <w:tcPr/>
          <w:p>
            <w:pPr>
              <w:pStyle w:val="Compact"/>
              <w:jc w:val="left"/>
            </w:pPr>
            <w:r>
              <w:t xml:space="preserve">1.16</w:t>
            </w:r>
          </w:p>
        </w:tc>
        <w:tc>
          <w:tcPr/>
          <w:p>
            <w:pPr>
              <w:pStyle w:val="Compact"/>
              <w:jc w:val="left"/>
            </w:pPr>
            <w:r>
              <w:t xml:space="preserve">1.13</w:t>
            </w:r>
          </w:p>
        </w:tc>
        <w:tc>
          <w:tcPr/>
          <w:p>
            <w:pPr>
              <w:pStyle w:val="Compact"/>
              <w:jc w:val="left"/>
            </w:pPr>
            <w:r>
              <w:t xml:space="preserve">1.02</w:t>
            </w:r>
          </w:p>
        </w:tc>
        <w:tc>
          <w:tcPr/>
          <w:p>
            <w:pPr>
              <w:pStyle w:val="Compact"/>
              <w:jc w:val="left"/>
            </w:pPr>
            <w:r>
              <w:t xml:space="preserve">Kasichayanula 2013a</w:t>
            </w:r>
          </w:p>
        </w:tc>
      </w:tr>
    </w:tbl>
    <w:p>
      <w:pPr>
        <w:pStyle w:val="BodyText"/>
      </w:pPr>
      <w:r>
        <w:t xml:space="preserve"> </w:t>
      </w:r>
    </w:p>
    <w:p>
      <w:pPr>
        <w:pStyle w:val="BodyText"/>
      </w:pPr>
    </w:p>
    <w:p>
      <w:r>
        <w:bookmarkStart w:id="2-ddi-subunit-9" w:name="2-ddi-subunit-9"/>
        <w:bookmarkEnd w:id="2-ddi-subunit-9"/>
      </w:r>
    </w:p>
    <w:bookmarkStart w:id="51" w:name="mechanism"/>
    <w:p>
      <w:pPr>
        <w:pStyle w:val="Heading2"/>
      </w:pPr>
      <w:r>
        <w:t xml:space="preserve">Mechanism</w:t>
      </w:r>
    </w:p>
    <w:p>
      <w:pPr>
        <w:pStyle w:val="FirstParagraph"/>
      </w:pPr>
    </w:p>
    <w:p>
      <w:r>
        <w:bookmarkStart w:id="2-ddi-subunit-10" w:name="2-ddi-subunit-10"/>
        <w:bookmarkEnd w:id="2-ddi-subunit-10"/>
      </w:r>
    </w:p>
    <w:bookmarkStart w:id="50" w:name="reversible-inhibition"/>
    <w:p>
      <w:pPr>
        <w:pStyle w:val="Heading3"/>
      </w:pPr>
      <w:r>
        <w:t xml:space="preserve">Reversible Inhibition</w:t>
      </w:r>
    </w:p>
    <w:p>
      <w:pPr>
        <w:pStyle w:val="FirstParagraph"/>
      </w:pPr>
    </w:p>
    <w:p>
      <w:r>
        <w:br w:type="page"/>
      </w:r>
    </w:p>
    <w:p>
      <w:r>
        <w:bookmarkStart w:id="figure-2-5" w:name="figure-2-5"/>
        <w:bookmarkEnd w:id="figure-2-5"/>
      </w:r>
    </w:p>
    <w:p>
      <w:pPr>
        <w:pStyle w:val="BodyText"/>
      </w:pPr>
      <w:r>
        <w:drawing>
          <wp:inline>
            <wp:extent cx="5969000" cy="4150550"/>
            <wp:effectExtent b="0" l="0" r="0" t="0"/>
            <wp:docPr descr="" title="" id="39" name="Picture"/>
            <a:graphic>
              <a:graphicData uri="http://schemas.openxmlformats.org/drawingml/2006/picture">
                <pic:pic>
                  <pic:nvPicPr>
                    <pic:cNvPr descr="images/006_section_2/DDIRatio_1_mechanism_Reversible_Inhibition_ddi_ratio_plot_AUC_predictedVsObserved.png" id="40" name="Picture"/>
                    <pic:cNvPicPr>
                      <a:picLocks noChangeArrowheads="1" noChangeAspect="1"/>
                    </pic:cNvPicPr>
                  </pic:nvPicPr>
                  <pic:blipFill>
                    <a:blip r:embed="rId38"/>
                    <a:stretch>
                      <a:fillRect/>
                    </a:stretch>
                  </pic:blipFill>
                  <pic:spPr bwMode="auto">
                    <a:xfrm>
                      <a:off x="0" y="0"/>
                      <a:ext cx="5969000" cy="4150550"/>
                    </a:xfrm>
                    <a:prstGeom prst="rect">
                      <a:avLst/>
                    </a:prstGeom>
                    <a:noFill/>
                    <a:ln w="9525">
                      <a:noFill/>
                      <a:headEnd/>
                      <a:tailEnd/>
                    </a:ln>
                  </pic:spPr>
                </pic:pic>
              </a:graphicData>
            </a:graphic>
          </wp:inline>
        </w:drawing>
      </w:r>
    </w:p>
    <w:p>
      <w:pPr>
        <w:pStyle w:val="BodyText"/>
      </w:pPr>
      <w:r>
        <w:rPr>
          <w:bCs/>
          <w:b/>
        </w:rPr>
        <w:t xml:space="preserve">Figure 2-5: UGT1A1 and UGT1A9 Inhibition DDI. Mechanism: Reversible Inhibition. Predicted vs. Observed AUC Ratio.</w:t>
      </w:r>
    </w:p>
    <w:p>
      <w:pPr>
        <w:pStyle w:val="BodyText"/>
      </w:pPr>
      <w:r>
        <w:t xml:space="preserve"> </w:t>
      </w:r>
    </w:p>
    <w:p>
      <w:pPr>
        <w:pStyle w:val="BodyText"/>
      </w:pPr>
    </w:p>
    <w:p>
      <w:r>
        <w:br w:type="page"/>
      </w:r>
    </w:p>
    <w:p>
      <w:r>
        <w:bookmarkStart w:id="figure-2-6" w:name="figure-2-6"/>
        <w:bookmarkEnd w:id="figure-2-6"/>
      </w:r>
    </w:p>
    <w:p>
      <w:pPr>
        <w:pStyle w:val="BodyText"/>
      </w:pPr>
      <w:r>
        <w:drawing>
          <wp:inline>
            <wp:extent cx="5969000" cy="2903178"/>
            <wp:effectExtent b="0" l="0" r="0" t="0"/>
            <wp:docPr descr="" title="" id="42" name="Picture"/>
            <a:graphic>
              <a:graphicData uri="http://schemas.openxmlformats.org/drawingml/2006/picture">
                <pic:pic>
                  <pic:nvPicPr>
                    <pic:cNvPr descr="images/006_section_2/DDIRatio_1_mechanism_Reversible_Inhibition_ddi_ratio_plot_AUC_residualsVsObserved.png" id="43" name="Picture"/>
                    <pic:cNvPicPr>
                      <a:picLocks noChangeArrowheads="1" noChangeAspect="1"/>
                    </pic:cNvPicPr>
                  </pic:nvPicPr>
                  <pic:blipFill>
                    <a:blip r:embed="rId41"/>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rPr>
          <w:bCs/>
          <w:b/>
        </w:rPr>
        <w:t xml:space="preserve">Figure 2-6: UGT1A1 and UGT1A9 Inhibition DDI. Mechanism: Reversible Inhibition. Predicted/Observed vs. Observed AUC Ratio.</w:t>
      </w:r>
    </w:p>
    <w:p>
      <w:pPr>
        <w:pStyle w:val="BodyText"/>
      </w:pPr>
      <w:r>
        <w:t xml:space="preserve"> </w:t>
      </w:r>
    </w:p>
    <w:p>
      <w:pPr>
        <w:pStyle w:val="BodyText"/>
      </w:pPr>
    </w:p>
    <w:p>
      <w:r>
        <w:br w:type="page"/>
      </w:r>
    </w:p>
    <w:p>
      <w:r>
        <w:bookmarkStart w:id="figure-2-7" w:name="figure-2-7"/>
        <w:bookmarkEnd w:id="figure-2-7"/>
      </w:r>
    </w:p>
    <w:p>
      <w:pPr>
        <w:pStyle w:val="BodyText"/>
      </w:pPr>
      <w:r>
        <w:drawing>
          <wp:inline>
            <wp:extent cx="5969000" cy="4150550"/>
            <wp:effectExtent b="0" l="0" r="0" t="0"/>
            <wp:docPr descr="" title="" id="45" name="Picture"/>
            <a:graphic>
              <a:graphicData uri="http://schemas.openxmlformats.org/drawingml/2006/picture">
                <pic:pic>
                  <pic:nvPicPr>
                    <pic:cNvPr descr="images/006_section_2/DDIRatio_1_mechanism_Reversible_Inhibition_ddi_ratio_plot_CMAX_predictedVsObserved.png" id="46" name="Picture"/>
                    <pic:cNvPicPr>
                      <a:picLocks noChangeArrowheads="1" noChangeAspect="1"/>
                    </pic:cNvPicPr>
                  </pic:nvPicPr>
                  <pic:blipFill>
                    <a:blip r:embed="rId44"/>
                    <a:stretch>
                      <a:fillRect/>
                    </a:stretch>
                  </pic:blipFill>
                  <pic:spPr bwMode="auto">
                    <a:xfrm>
                      <a:off x="0" y="0"/>
                      <a:ext cx="5969000" cy="4150550"/>
                    </a:xfrm>
                    <a:prstGeom prst="rect">
                      <a:avLst/>
                    </a:prstGeom>
                    <a:noFill/>
                    <a:ln w="9525">
                      <a:noFill/>
                      <a:headEnd/>
                      <a:tailEnd/>
                    </a:ln>
                  </pic:spPr>
                </pic:pic>
              </a:graphicData>
            </a:graphic>
          </wp:inline>
        </w:drawing>
      </w:r>
    </w:p>
    <w:p>
      <w:pPr>
        <w:pStyle w:val="BodyText"/>
      </w:pPr>
      <w:r>
        <w:rPr>
          <w:bCs/>
          <w:b/>
        </w:rPr>
        <w:t xml:space="preserve">Figure 2-7: UGT1A1 and UGT1A9 Inhibition DDI. Mechanism: Reversible Inhibition. Predicted vs. Observed CMAX Ratio.</w:t>
      </w:r>
    </w:p>
    <w:p>
      <w:pPr>
        <w:pStyle w:val="BodyText"/>
      </w:pPr>
      <w:r>
        <w:t xml:space="preserve"> </w:t>
      </w:r>
    </w:p>
    <w:p>
      <w:pPr>
        <w:pStyle w:val="BodyText"/>
      </w:pPr>
    </w:p>
    <w:p>
      <w:r>
        <w:br w:type="page"/>
      </w:r>
    </w:p>
    <w:p>
      <w:r>
        <w:bookmarkStart w:id="figure-2-8" w:name="figure-2-8"/>
        <w:bookmarkEnd w:id="figure-2-8"/>
      </w:r>
    </w:p>
    <w:p>
      <w:pPr>
        <w:pStyle w:val="BodyText"/>
      </w:pPr>
      <w:r>
        <w:drawing>
          <wp:inline>
            <wp:extent cx="5969000" cy="2903178"/>
            <wp:effectExtent b="0" l="0" r="0" t="0"/>
            <wp:docPr descr="" title="" id="48" name="Picture"/>
            <a:graphic>
              <a:graphicData uri="http://schemas.openxmlformats.org/drawingml/2006/picture">
                <pic:pic>
                  <pic:nvPicPr>
                    <pic:cNvPr descr="images/006_section_2/DDIRatio_1_mechanism_Reversible_Inhibition_ddi_ratio_plot_CMAX_residualsVsObserved.png" id="49" name="Picture"/>
                    <pic:cNvPicPr>
                      <a:picLocks noChangeArrowheads="1" noChangeAspect="1"/>
                    </pic:cNvPicPr>
                  </pic:nvPicPr>
                  <pic:blipFill>
                    <a:blip r:embed="rId47"/>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rPr>
          <w:bCs/>
          <w:b/>
        </w:rPr>
        <w:t xml:space="preserve">Figure 2-8: UGT1A1 and UGT1A9 Inhibition DDI. Mechanism: Reversible Inhibition. Predicted/Observed vs. Observed CMAX Ratio.</w:t>
      </w:r>
    </w:p>
    <w:p>
      <w:pPr>
        <w:pStyle w:val="BodyText"/>
      </w:pPr>
      <w:r>
        <w:t xml:space="preserve"> </w:t>
      </w:r>
    </w:p>
    <w:p>
      <w:pPr>
        <w:pStyle w:val="BodyText"/>
      </w:pPr>
    </w:p>
    <w:p>
      <w:r>
        <w:br w:type="page"/>
      </w:r>
    </w:p>
    <w:p>
      <w:r>
        <w:bookmarkStart w:id="table-2-5" w:name="table-2-5"/>
        <w:bookmarkEnd w:id="table-2-5"/>
      </w:r>
    </w:p>
    <w:p>
      <w:pPr>
        <w:pStyle w:val="BodyText"/>
      </w:pPr>
      <w:r>
        <w:rPr>
          <w:bCs/>
          <w:b/>
        </w:rPr>
        <w:t xml:space="preserve">Table 2-5: GMFE for UGT1A1 and UGT1A9 Inhibition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1.13</w:t>
            </w:r>
          </w:p>
        </w:tc>
      </w:tr>
      <w:tr>
        <w:tc>
          <w:tcPr/>
          <w:p>
            <w:pPr>
              <w:pStyle w:val="Compact"/>
              <w:jc w:val="left"/>
            </w:pPr>
            <w:r>
              <w:t xml:space="preserve">CMAX</w:t>
            </w:r>
          </w:p>
        </w:tc>
        <w:tc>
          <w:tcPr/>
          <w:p>
            <w:pPr>
              <w:pStyle w:val="Compact"/>
              <w:jc w:val="left"/>
            </w:pPr>
            <w:r>
              <w:t xml:space="preserve">1.10</w:t>
            </w:r>
          </w:p>
        </w:tc>
      </w:tr>
    </w:tbl>
    <w:p>
      <w:pPr>
        <w:pStyle w:val="BodyText"/>
      </w:pPr>
      <w:r>
        <w:t xml:space="preserve"> </w:t>
      </w:r>
    </w:p>
    <w:p>
      <w:pPr>
        <w:pStyle w:val="BodyText"/>
      </w:pPr>
    </w:p>
    <w:p>
      <w:r>
        <w:br w:type="page"/>
      </w:r>
    </w:p>
    <w:p>
      <w:r>
        <w:bookmarkStart w:id="table-2-6" w:name="table-2-6"/>
        <w:bookmarkEnd w:id="table-2-6"/>
      </w:r>
    </w:p>
    <w:p>
      <w:pPr>
        <w:pStyle w:val="BodyText"/>
      </w:pPr>
      <w:r>
        <w:rPr>
          <w:bCs/>
          <w:b/>
        </w:rPr>
        <w:t xml:space="preserve">Table 2-6: Summary table for UGT1A1 and UGT1A9 Inhibition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5</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5</w:t>
            </w:r>
          </w:p>
        </w:tc>
        <w:tc>
          <w:tcPr/>
          <w:p>
            <w:pPr>
              <w:pStyle w:val="Compact"/>
              <w:jc w:val="left"/>
            </w:pPr>
            <w:r>
              <w:t xml:space="preserve">100</w:t>
            </w:r>
          </w:p>
        </w:tc>
      </w:tr>
    </w:tbl>
    <w:p>
      <w:pPr>
        <w:pStyle w:val="BodyText"/>
      </w:pPr>
      <w:r>
        <w:t xml:space="preserve"> </w:t>
      </w:r>
    </w:p>
    <w:p>
      <w:pPr>
        <w:pStyle w:val="BodyText"/>
      </w:pPr>
    </w:p>
    <w:p>
      <w:r>
        <w:br w:type="page"/>
      </w:r>
    </w:p>
    <w:p>
      <w:r>
        <w:bookmarkStart w:id="table-2-7" w:name="table-2-7"/>
        <w:bookmarkEnd w:id="table-2-7"/>
      </w:r>
    </w:p>
    <w:p>
      <w:pPr>
        <w:pStyle w:val="BodyText"/>
      </w:pPr>
      <w:r>
        <w:rPr>
          <w:bCs/>
          <w:b/>
        </w:rPr>
        <w:t xml:space="preserve">Table 2-7: Summary table for UGT1A1 and UGT1A9 Inhibition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80</w:t>
            </w:r>
          </w:p>
        </w:tc>
      </w:tr>
      <w:tr>
        <w:tc>
          <w:tcPr/>
          <w:p>
            <w:pPr>
              <w:pStyle w:val="Compact"/>
              <w:jc w:val="left"/>
            </w:pPr>
            <w:r>
              <w:t xml:space="preserve">Points within 2 fold</w:t>
            </w:r>
          </w:p>
        </w:tc>
        <w:tc>
          <w:tcPr/>
          <w:p>
            <w:pPr>
              <w:pStyle w:val="Compact"/>
              <w:jc w:val="left"/>
            </w:pPr>
            <w:r>
              <w:t xml:space="preserve">5</w:t>
            </w:r>
          </w:p>
        </w:tc>
        <w:tc>
          <w:tcPr/>
          <w:p>
            <w:pPr>
              <w:pStyle w:val="Compact"/>
              <w:jc w:val="left"/>
            </w:pPr>
            <w:r>
              <w:t xml:space="preserve">100</w:t>
            </w:r>
          </w:p>
        </w:tc>
      </w:tr>
    </w:tbl>
    <w:p>
      <w:pPr>
        <w:pStyle w:val="BodyText"/>
      </w:pPr>
      <w:r>
        <w:t xml:space="preserve"> </w:t>
      </w:r>
    </w:p>
    <w:p>
      <w:pPr>
        <w:pStyle w:val="BodyText"/>
      </w:pPr>
    </w:p>
    <w:p>
      <w:r>
        <w:bookmarkStart w:id="2-ddi-subunit-18" w:name="2-ddi-subunit-18"/>
        <w:bookmarkEnd w:id="2-ddi-subunit-18"/>
      </w:r>
    </w:p>
    <w:bookmarkEnd w:id="50"/>
    <w:bookmarkEnd w:id="51"/>
    <w:bookmarkStart w:id="78" w:name="perpetrator"/>
    <w:p>
      <w:pPr>
        <w:pStyle w:val="Heading2"/>
      </w:pPr>
      <w:r>
        <w:t xml:space="preserve">Perpetrator</w:t>
      </w:r>
    </w:p>
    <w:p>
      <w:pPr>
        <w:pStyle w:val="FirstParagraph"/>
      </w:pPr>
    </w:p>
    <w:p>
      <w:r>
        <w:bookmarkStart w:id="2-ddi-subunit-19" w:name="2-ddi-subunit-19"/>
        <w:bookmarkEnd w:id="2-ddi-subunit-19"/>
      </w:r>
    </w:p>
    <w:bookmarkStart w:id="64" w:name="atazanavir"/>
    <w:p>
      <w:pPr>
        <w:pStyle w:val="Heading3"/>
      </w:pPr>
      <w:r>
        <w:t xml:space="preserve">Atazanavir</w:t>
      </w:r>
    </w:p>
    <w:p>
      <w:pPr>
        <w:pStyle w:val="FirstParagraph"/>
      </w:pPr>
    </w:p>
    <w:p>
      <w:r>
        <w:br w:type="page"/>
      </w:r>
    </w:p>
    <w:p>
      <w:r>
        <w:bookmarkStart w:id="figure-2-9" w:name="figure-2-9"/>
        <w:bookmarkEnd w:id="figure-2-9"/>
      </w:r>
    </w:p>
    <w:p>
      <w:pPr>
        <w:pStyle w:val="BodyText"/>
      </w:pPr>
      <w:r>
        <w:drawing>
          <wp:inline>
            <wp:extent cx="5969000" cy="4424045"/>
            <wp:effectExtent b="0" l="0" r="0" t="0"/>
            <wp:docPr descr="" title="" id="53" name="Picture"/>
            <a:graphic>
              <a:graphicData uri="http://schemas.openxmlformats.org/drawingml/2006/picture">
                <pic:pic>
                  <pic:nvPicPr>
                    <pic:cNvPr descr="images/006_section_2/DDIRatio_1_perpetrator_Atazanavir_ddi_ratio_plot_AUC_predictedVsObserved.png" id="54" name="Picture"/>
                    <pic:cNvPicPr>
                      <a:picLocks noChangeArrowheads="1" noChangeAspect="1"/>
                    </pic:cNvPicPr>
                  </pic:nvPicPr>
                  <pic:blipFill>
                    <a:blip r:embed="rId52"/>
                    <a:stretch>
                      <a:fillRect/>
                    </a:stretch>
                  </pic:blipFill>
                  <pic:spPr bwMode="auto">
                    <a:xfrm>
                      <a:off x="0" y="0"/>
                      <a:ext cx="5969000" cy="4424045"/>
                    </a:xfrm>
                    <a:prstGeom prst="rect">
                      <a:avLst/>
                    </a:prstGeom>
                    <a:noFill/>
                    <a:ln w="9525">
                      <a:noFill/>
                      <a:headEnd/>
                      <a:tailEnd/>
                    </a:ln>
                  </pic:spPr>
                </pic:pic>
              </a:graphicData>
            </a:graphic>
          </wp:inline>
        </w:drawing>
      </w:r>
    </w:p>
    <w:p>
      <w:pPr>
        <w:pStyle w:val="BodyText"/>
      </w:pPr>
      <w:r>
        <w:rPr>
          <w:bCs/>
          <w:b/>
        </w:rPr>
        <w:t xml:space="preserve">Figure 2-9: UGT1A1 and UGT1A9 Inhibition DDI. Perpetrator: Atazanavir. Predicted vs. Observed AUC Ratio.</w:t>
      </w:r>
    </w:p>
    <w:p>
      <w:pPr>
        <w:pStyle w:val="BodyText"/>
      </w:pPr>
      <w:r>
        <w:t xml:space="preserve"> </w:t>
      </w:r>
    </w:p>
    <w:p>
      <w:pPr>
        <w:pStyle w:val="BodyText"/>
      </w:pPr>
    </w:p>
    <w:p>
      <w:r>
        <w:br w:type="page"/>
      </w:r>
    </w:p>
    <w:p>
      <w:r>
        <w:bookmarkStart w:id="figure-2-10" w:name="figure-2-10"/>
        <w:bookmarkEnd w:id="figure-2-10"/>
      </w:r>
    </w:p>
    <w:p>
      <w:pPr>
        <w:pStyle w:val="BodyText"/>
      </w:pPr>
      <w:r>
        <w:drawing>
          <wp:inline>
            <wp:extent cx="5969000" cy="3051663"/>
            <wp:effectExtent b="0" l="0" r="0" t="0"/>
            <wp:docPr descr="" title="" id="56" name="Picture"/>
            <a:graphic>
              <a:graphicData uri="http://schemas.openxmlformats.org/drawingml/2006/picture">
                <pic:pic>
                  <pic:nvPicPr>
                    <pic:cNvPr descr="images/006_section_2/DDIRatio_1_perpetrator_Atazanavir_ddi_ratio_plot_AUC_residualsVsObserved.png" id="57" name="Picture"/>
                    <pic:cNvPicPr>
                      <a:picLocks noChangeArrowheads="1" noChangeAspect="1"/>
                    </pic:cNvPicPr>
                  </pic:nvPicPr>
                  <pic:blipFill>
                    <a:blip r:embed="rId55"/>
                    <a:stretch>
                      <a:fillRect/>
                    </a:stretch>
                  </pic:blipFill>
                  <pic:spPr bwMode="auto">
                    <a:xfrm>
                      <a:off x="0" y="0"/>
                      <a:ext cx="5969000" cy="3051663"/>
                    </a:xfrm>
                    <a:prstGeom prst="rect">
                      <a:avLst/>
                    </a:prstGeom>
                    <a:noFill/>
                    <a:ln w="9525">
                      <a:noFill/>
                      <a:headEnd/>
                      <a:tailEnd/>
                    </a:ln>
                  </pic:spPr>
                </pic:pic>
              </a:graphicData>
            </a:graphic>
          </wp:inline>
        </w:drawing>
      </w:r>
    </w:p>
    <w:p>
      <w:pPr>
        <w:pStyle w:val="BodyText"/>
      </w:pPr>
      <w:r>
        <w:rPr>
          <w:bCs/>
          <w:b/>
        </w:rPr>
        <w:t xml:space="preserve">Figure 2-10: UGT1A1 and UGT1A9 Inhibition DDI. Perpetrator: Atazanavir. Predicted/Observed vs. Observed AUC Ratio.</w:t>
      </w:r>
    </w:p>
    <w:p>
      <w:pPr>
        <w:pStyle w:val="BodyText"/>
      </w:pPr>
      <w:r>
        <w:t xml:space="preserve"> </w:t>
      </w:r>
    </w:p>
    <w:p>
      <w:pPr>
        <w:pStyle w:val="BodyText"/>
      </w:pPr>
    </w:p>
    <w:p>
      <w:r>
        <w:br w:type="page"/>
      </w:r>
    </w:p>
    <w:p>
      <w:r>
        <w:bookmarkStart w:id="figure-2-11" w:name="figure-2-11"/>
        <w:bookmarkEnd w:id="figure-2-11"/>
      </w:r>
    </w:p>
    <w:p>
      <w:pPr>
        <w:pStyle w:val="BodyText"/>
      </w:pPr>
      <w:r>
        <w:drawing>
          <wp:inline>
            <wp:extent cx="5969000" cy="4424045"/>
            <wp:effectExtent b="0" l="0" r="0" t="0"/>
            <wp:docPr descr="" title="" id="59" name="Picture"/>
            <a:graphic>
              <a:graphicData uri="http://schemas.openxmlformats.org/drawingml/2006/picture">
                <pic:pic>
                  <pic:nvPicPr>
                    <pic:cNvPr descr="images/006_section_2/DDIRatio_1_perpetrator_Atazanavir_ddi_ratio_plot_CMAX_predictedVsObserved.png" id="60" name="Picture"/>
                    <pic:cNvPicPr>
                      <a:picLocks noChangeArrowheads="1" noChangeAspect="1"/>
                    </pic:cNvPicPr>
                  </pic:nvPicPr>
                  <pic:blipFill>
                    <a:blip r:embed="rId58"/>
                    <a:stretch>
                      <a:fillRect/>
                    </a:stretch>
                  </pic:blipFill>
                  <pic:spPr bwMode="auto">
                    <a:xfrm>
                      <a:off x="0" y="0"/>
                      <a:ext cx="5969000" cy="4424045"/>
                    </a:xfrm>
                    <a:prstGeom prst="rect">
                      <a:avLst/>
                    </a:prstGeom>
                    <a:noFill/>
                    <a:ln w="9525">
                      <a:noFill/>
                      <a:headEnd/>
                      <a:tailEnd/>
                    </a:ln>
                  </pic:spPr>
                </pic:pic>
              </a:graphicData>
            </a:graphic>
          </wp:inline>
        </w:drawing>
      </w:r>
    </w:p>
    <w:p>
      <w:pPr>
        <w:pStyle w:val="BodyText"/>
      </w:pPr>
      <w:r>
        <w:rPr>
          <w:bCs/>
          <w:b/>
        </w:rPr>
        <w:t xml:space="preserve">Figure 2-11: UGT1A1 and UGT1A9 Inhibition DDI. Perpetrator: Atazanavir. Predicted vs. Observed CMAX Ratio.</w:t>
      </w:r>
    </w:p>
    <w:p>
      <w:pPr>
        <w:pStyle w:val="BodyText"/>
      </w:pPr>
      <w:r>
        <w:t xml:space="preserve"> </w:t>
      </w:r>
    </w:p>
    <w:p>
      <w:pPr>
        <w:pStyle w:val="BodyText"/>
      </w:pPr>
    </w:p>
    <w:p>
      <w:r>
        <w:br w:type="page"/>
      </w:r>
    </w:p>
    <w:p>
      <w:r>
        <w:bookmarkStart w:id="figure-2-12" w:name="figure-2-12"/>
        <w:bookmarkEnd w:id="figure-2-12"/>
      </w:r>
    </w:p>
    <w:p>
      <w:pPr>
        <w:pStyle w:val="BodyText"/>
      </w:pPr>
      <w:r>
        <w:drawing>
          <wp:inline>
            <wp:extent cx="5969000" cy="3051663"/>
            <wp:effectExtent b="0" l="0" r="0" t="0"/>
            <wp:docPr descr="" title="" id="62" name="Picture"/>
            <a:graphic>
              <a:graphicData uri="http://schemas.openxmlformats.org/drawingml/2006/picture">
                <pic:pic>
                  <pic:nvPicPr>
                    <pic:cNvPr descr="images/006_section_2/DDIRatio_1_perpetrator_Atazanavir_ddi_ratio_plot_CMAX_residualsVsObserved.png" id="63" name="Picture"/>
                    <pic:cNvPicPr>
                      <a:picLocks noChangeArrowheads="1" noChangeAspect="1"/>
                    </pic:cNvPicPr>
                  </pic:nvPicPr>
                  <pic:blipFill>
                    <a:blip r:embed="rId61"/>
                    <a:stretch>
                      <a:fillRect/>
                    </a:stretch>
                  </pic:blipFill>
                  <pic:spPr bwMode="auto">
                    <a:xfrm>
                      <a:off x="0" y="0"/>
                      <a:ext cx="5969000" cy="3051663"/>
                    </a:xfrm>
                    <a:prstGeom prst="rect">
                      <a:avLst/>
                    </a:prstGeom>
                    <a:noFill/>
                    <a:ln w="9525">
                      <a:noFill/>
                      <a:headEnd/>
                      <a:tailEnd/>
                    </a:ln>
                  </pic:spPr>
                </pic:pic>
              </a:graphicData>
            </a:graphic>
          </wp:inline>
        </w:drawing>
      </w:r>
    </w:p>
    <w:p>
      <w:pPr>
        <w:pStyle w:val="BodyText"/>
      </w:pPr>
      <w:r>
        <w:rPr>
          <w:bCs/>
          <w:b/>
        </w:rPr>
        <w:t xml:space="preserve">Figure 2-12: UGT1A1 and UGT1A9 Inhibition DDI. Perpetrator: Atazanavir. Predicted/Observed vs. Observed CMAX Ratio.</w:t>
      </w:r>
    </w:p>
    <w:p>
      <w:pPr>
        <w:pStyle w:val="BodyText"/>
      </w:pPr>
      <w:r>
        <w:t xml:space="preserve"> </w:t>
      </w:r>
    </w:p>
    <w:p>
      <w:pPr>
        <w:pStyle w:val="BodyText"/>
      </w:pPr>
    </w:p>
    <w:p>
      <w:r>
        <w:br w:type="page"/>
      </w:r>
    </w:p>
    <w:p>
      <w:r>
        <w:bookmarkStart w:id="table-2-8" w:name="table-2-8"/>
        <w:bookmarkEnd w:id="table-2-8"/>
      </w:r>
    </w:p>
    <w:p>
      <w:pPr>
        <w:pStyle w:val="BodyText"/>
      </w:pPr>
      <w:r>
        <w:rPr>
          <w:bCs/>
          <w:b/>
        </w:rPr>
        <w:t xml:space="preserve">Table 2-8: GMFE for UGT1A1 and UGT1A9 Inhibition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1.14</w:t>
            </w:r>
          </w:p>
        </w:tc>
      </w:tr>
      <w:tr>
        <w:tc>
          <w:tcPr/>
          <w:p>
            <w:pPr>
              <w:pStyle w:val="Compact"/>
              <w:jc w:val="left"/>
            </w:pPr>
            <w:r>
              <w:t xml:space="preserve">CMAX</w:t>
            </w:r>
          </w:p>
        </w:tc>
        <w:tc>
          <w:tcPr/>
          <w:p>
            <w:pPr>
              <w:pStyle w:val="Compact"/>
              <w:jc w:val="left"/>
            </w:pPr>
            <w:r>
              <w:t xml:space="preserve">1.12</w:t>
            </w:r>
          </w:p>
        </w:tc>
      </w:tr>
    </w:tbl>
    <w:p>
      <w:pPr>
        <w:pStyle w:val="BodyText"/>
      </w:pPr>
      <w:r>
        <w:t xml:space="preserve"> </w:t>
      </w:r>
    </w:p>
    <w:p>
      <w:pPr>
        <w:pStyle w:val="BodyText"/>
      </w:pPr>
    </w:p>
    <w:p>
      <w:r>
        <w:br w:type="page"/>
      </w:r>
    </w:p>
    <w:p>
      <w:r>
        <w:bookmarkStart w:id="table-2-9" w:name="table-2-9"/>
        <w:bookmarkEnd w:id="table-2-9"/>
      </w:r>
    </w:p>
    <w:p>
      <w:pPr>
        <w:pStyle w:val="BodyText"/>
      </w:pPr>
      <w:r>
        <w:rPr>
          <w:bCs/>
          <w:b/>
        </w:rPr>
        <w:t xml:space="preserve">Table 2-9: Summary table for UGT1A1 and UGT1A9 Inhibition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p>
      <w:pPr>
        <w:pStyle w:val="BodyText"/>
      </w:pPr>
    </w:p>
    <w:p>
      <w:r>
        <w:br w:type="page"/>
      </w:r>
    </w:p>
    <w:p>
      <w:r>
        <w:bookmarkStart w:id="table-2-10" w:name="table-2-10"/>
        <w:bookmarkEnd w:id="table-2-10"/>
      </w:r>
    </w:p>
    <w:p>
      <w:pPr>
        <w:pStyle w:val="BodyText"/>
      </w:pPr>
      <w:r>
        <w:rPr>
          <w:bCs/>
          <w:b/>
        </w:rPr>
        <w:t xml:space="preserve">Table 2-10: Summary table for UGT1A1 and UGT1A9 Inhibition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w:t>
            </w:r>
          </w:p>
        </w:tc>
        <w:tc>
          <w:tcPr/>
          <w:p>
            <w:pPr>
              <w:pStyle w:val="Compact"/>
              <w:jc w:val="left"/>
            </w:pPr>
            <w:r>
              <w:t xml:space="preserve">75</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p>
      <w:pPr>
        <w:pStyle w:val="BodyText"/>
      </w:pPr>
    </w:p>
    <w:p>
      <w:r>
        <w:bookmarkStart w:id="2-ddi-subunit-27" w:name="2-ddi-subunit-27"/>
        <w:bookmarkEnd w:id="2-ddi-subunit-27"/>
      </w:r>
    </w:p>
    <w:bookmarkEnd w:id="64"/>
    <w:bookmarkStart w:id="77" w:name="mefenamic-acid"/>
    <w:p>
      <w:pPr>
        <w:pStyle w:val="Heading3"/>
      </w:pPr>
      <w:r>
        <w:t xml:space="preserve">Mefenamic Acid</w:t>
      </w:r>
    </w:p>
    <w:p>
      <w:pPr>
        <w:pStyle w:val="FirstParagraph"/>
      </w:pPr>
    </w:p>
    <w:p>
      <w:r>
        <w:br w:type="page"/>
      </w:r>
    </w:p>
    <w:p>
      <w:r>
        <w:bookmarkStart w:id="figure-2-13" w:name="figure-2-13"/>
        <w:bookmarkEnd w:id="figure-2-13"/>
      </w:r>
    </w:p>
    <w:p>
      <w:pPr>
        <w:pStyle w:val="BodyText"/>
      </w:pPr>
      <w:r>
        <w:drawing>
          <wp:inline>
            <wp:extent cx="5969000" cy="4150550"/>
            <wp:effectExtent b="0" l="0" r="0" t="0"/>
            <wp:docPr descr="" title="" id="66" name="Picture"/>
            <a:graphic>
              <a:graphicData uri="http://schemas.openxmlformats.org/drawingml/2006/picture">
                <pic:pic>
                  <pic:nvPicPr>
                    <pic:cNvPr descr="images/006_section_2/DDIRatio_1_perpetrator_Mefenamic_Acid_ddi_ratio_plot_AUC_predictedVsObserved.png" id="67" name="Picture"/>
                    <pic:cNvPicPr>
                      <a:picLocks noChangeArrowheads="1" noChangeAspect="1"/>
                    </pic:cNvPicPr>
                  </pic:nvPicPr>
                  <pic:blipFill>
                    <a:blip r:embed="rId65"/>
                    <a:stretch>
                      <a:fillRect/>
                    </a:stretch>
                  </pic:blipFill>
                  <pic:spPr bwMode="auto">
                    <a:xfrm>
                      <a:off x="0" y="0"/>
                      <a:ext cx="5969000" cy="4150550"/>
                    </a:xfrm>
                    <a:prstGeom prst="rect">
                      <a:avLst/>
                    </a:prstGeom>
                    <a:noFill/>
                    <a:ln w="9525">
                      <a:noFill/>
                      <a:headEnd/>
                      <a:tailEnd/>
                    </a:ln>
                  </pic:spPr>
                </pic:pic>
              </a:graphicData>
            </a:graphic>
          </wp:inline>
        </w:drawing>
      </w:r>
    </w:p>
    <w:p>
      <w:pPr>
        <w:pStyle w:val="BodyText"/>
      </w:pPr>
      <w:r>
        <w:rPr>
          <w:bCs/>
          <w:b/>
        </w:rPr>
        <w:t xml:space="preserve">Figure 2-13: UGT1A1 and UGT1A9 Inhibition DDI. Perpetrator: Mefenamic Acid. Predicted vs. Observed AUC Ratio.</w:t>
      </w:r>
    </w:p>
    <w:p>
      <w:pPr>
        <w:pStyle w:val="BodyText"/>
      </w:pPr>
      <w:r>
        <w:t xml:space="preserve"> </w:t>
      </w:r>
    </w:p>
    <w:p>
      <w:pPr>
        <w:pStyle w:val="BodyText"/>
      </w:pPr>
    </w:p>
    <w:p>
      <w:r>
        <w:br w:type="page"/>
      </w:r>
    </w:p>
    <w:p>
      <w:r>
        <w:bookmarkStart w:id="figure-2-14" w:name="figure-2-14"/>
        <w:bookmarkEnd w:id="figure-2-14"/>
      </w:r>
    </w:p>
    <w:p>
      <w:pPr>
        <w:pStyle w:val="BodyText"/>
      </w:pPr>
      <w:r>
        <w:drawing>
          <wp:inline>
            <wp:extent cx="5969000" cy="2903178"/>
            <wp:effectExtent b="0" l="0" r="0" t="0"/>
            <wp:docPr descr="" title="" id="69" name="Picture"/>
            <a:graphic>
              <a:graphicData uri="http://schemas.openxmlformats.org/drawingml/2006/picture">
                <pic:pic>
                  <pic:nvPicPr>
                    <pic:cNvPr descr="images/006_section_2/DDIRatio_1_perpetrator_Mefenamic_Acid_ddi_ratio_plot_AUC_residualsVsObserved.png" id="70" name="Picture"/>
                    <pic:cNvPicPr>
                      <a:picLocks noChangeArrowheads="1" noChangeAspect="1"/>
                    </pic:cNvPicPr>
                  </pic:nvPicPr>
                  <pic:blipFill>
                    <a:blip r:embed="rId68"/>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rPr>
          <w:bCs/>
          <w:b/>
        </w:rPr>
        <w:t xml:space="preserve">Figure 2-14: UGT1A1 and UGT1A9 Inhibition DDI. Perpetrator: Mefenamic Acid. Predicted/Observed vs. Observed AUC Ratio.</w:t>
      </w:r>
    </w:p>
    <w:p>
      <w:pPr>
        <w:pStyle w:val="BodyText"/>
      </w:pPr>
      <w:r>
        <w:t xml:space="preserve"> </w:t>
      </w:r>
    </w:p>
    <w:p>
      <w:pPr>
        <w:pStyle w:val="BodyText"/>
      </w:pPr>
    </w:p>
    <w:p>
      <w:r>
        <w:br w:type="page"/>
      </w:r>
    </w:p>
    <w:p>
      <w:r>
        <w:bookmarkStart w:id="figure-2-15" w:name="figure-2-15"/>
        <w:bookmarkEnd w:id="figure-2-15"/>
      </w:r>
    </w:p>
    <w:p>
      <w:pPr>
        <w:pStyle w:val="BodyText"/>
      </w:pPr>
      <w:r>
        <w:drawing>
          <wp:inline>
            <wp:extent cx="5969000" cy="4150550"/>
            <wp:effectExtent b="0" l="0" r="0" t="0"/>
            <wp:docPr descr="" title="" id="72" name="Picture"/>
            <a:graphic>
              <a:graphicData uri="http://schemas.openxmlformats.org/drawingml/2006/picture">
                <pic:pic>
                  <pic:nvPicPr>
                    <pic:cNvPr descr="images/006_section_2/DDIRatio_1_perpetrator_Mefenamic_Acid_ddi_ratio_plot_CMAX_predictedVsObserved.png" id="73" name="Picture"/>
                    <pic:cNvPicPr>
                      <a:picLocks noChangeArrowheads="1" noChangeAspect="1"/>
                    </pic:cNvPicPr>
                  </pic:nvPicPr>
                  <pic:blipFill>
                    <a:blip r:embed="rId71"/>
                    <a:stretch>
                      <a:fillRect/>
                    </a:stretch>
                  </pic:blipFill>
                  <pic:spPr bwMode="auto">
                    <a:xfrm>
                      <a:off x="0" y="0"/>
                      <a:ext cx="5969000" cy="4150550"/>
                    </a:xfrm>
                    <a:prstGeom prst="rect">
                      <a:avLst/>
                    </a:prstGeom>
                    <a:noFill/>
                    <a:ln w="9525">
                      <a:noFill/>
                      <a:headEnd/>
                      <a:tailEnd/>
                    </a:ln>
                  </pic:spPr>
                </pic:pic>
              </a:graphicData>
            </a:graphic>
          </wp:inline>
        </w:drawing>
      </w:r>
    </w:p>
    <w:p>
      <w:pPr>
        <w:pStyle w:val="BodyText"/>
      </w:pPr>
      <w:r>
        <w:rPr>
          <w:bCs/>
          <w:b/>
        </w:rPr>
        <w:t xml:space="preserve">Figure 2-15: UGT1A1 and UGT1A9 Inhibition DDI. Perpetrator: Mefenamic Acid. Predicted vs. Observed CMAX Ratio.</w:t>
      </w:r>
    </w:p>
    <w:p>
      <w:pPr>
        <w:pStyle w:val="BodyText"/>
      </w:pPr>
      <w:r>
        <w:t xml:space="preserve"> </w:t>
      </w:r>
    </w:p>
    <w:p>
      <w:pPr>
        <w:pStyle w:val="BodyText"/>
      </w:pPr>
    </w:p>
    <w:p>
      <w:r>
        <w:br w:type="page"/>
      </w:r>
    </w:p>
    <w:p>
      <w:r>
        <w:bookmarkStart w:id="figure-2-16" w:name="figure-2-16"/>
        <w:bookmarkEnd w:id="figure-2-16"/>
      </w:r>
    </w:p>
    <w:p>
      <w:pPr>
        <w:pStyle w:val="BodyText"/>
      </w:pPr>
      <w:r>
        <w:drawing>
          <wp:inline>
            <wp:extent cx="5969000" cy="2903178"/>
            <wp:effectExtent b="0" l="0" r="0" t="0"/>
            <wp:docPr descr="" title="" id="75" name="Picture"/>
            <a:graphic>
              <a:graphicData uri="http://schemas.openxmlformats.org/drawingml/2006/picture">
                <pic:pic>
                  <pic:nvPicPr>
                    <pic:cNvPr descr="images/006_section_2/DDIRatio_1_perpetrator_Mefenamic_Acid_ddi_ratio_plot_CMAX_residualsVsObserved.png" id="76" name="Picture"/>
                    <pic:cNvPicPr>
                      <a:picLocks noChangeArrowheads="1" noChangeAspect="1"/>
                    </pic:cNvPicPr>
                  </pic:nvPicPr>
                  <pic:blipFill>
                    <a:blip r:embed="rId74"/>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rPr>
          <w:bCs/>
          <w:b/>
        </w:rPr>
        <w:t xml:space="preserve">Figure 2-16: UGT1A1 and UGT1A9 Inhibition DDI. Perpetrator: Mefenamic Acid. Predicted/Observed vs. Observed CMAX Ratio.</w:t>
      </w:r>
    </w:p>
    <w:p>
      <w:pPr>
        <w:pStyle w:val="BodyText"/>
      </w:pPr>
      <w:r>
        <w:t xml:space="preserve"> </w:t>
      </w:r>
    </w:p>
    <w:p>
      <w:pPr>
        <w:pStyle w:val="BodyText"/>
      </w:pPr>
    </w:p>
    <w:p>
      <w:r>
        <w:br w:type="page"/>
      </w:r>
    </w:p>
    <w:p>
      <w:r>
        <w:bookmarkStart w:id="table-2-11" w:name="table-2-11"/>
        <w:bookmarkEnd w:id="table-2-11"/>
      </w:r>
    </w:p>
    <w:p>
      <w:pPr>
        <w:pStyle w:val="BodyText"/>
      </w:pPr>
      <w:r>
        <w:rPr>
          <w:bCs/>
          <w:b/>
        </w:rPr>
        <w:t xml:space="preserve">Table 2-11: GMFE for UGT1A1 and UGT1A9 Inhibition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1.07</w:t>
            </w:r>
          </w:p>
        </w:tc>
      </w:tr>
      <w:tr>
        <w:tc>
          <w:tcPr/>
          <w:p>
            <w:pPr>
              <w:pStyle w:val="Compact"/>
              <w:jc w:val="left"/>
            </w:pPr>
            <w:r>
              <w:t xml:space="preserve">CMAX</w:t>
            </w:r>
          </w:p>
        </w:tc>
        <w:tc>
          <w:tcPr/>
          <w:p>
            <w:pPr>
              <w:pStyle w:val="Compact"/>
              <w:jc w:val="left"/>
            </w:pPr>
            <w:r>
              <w:t xml:space="preserve">1.02</w:t>
            </w:r>
          </w:p>
        </w:tc>
      </w:tr>
    </w:tbl>
    <w:p>
      <w:pPr>
        <w:pStyle w:val="BodyText"/>
      </w:pPr>
      <w:r>
        <w:t xml:space="preserve"> </w:t>
      </w:r>
    </w:p>
    <w:p>
      <w:pPr>
        <w:pStyle w:val="BodyText"/>
      </w:pPr>
    </w:p>
    <w:p>
      <w:r>
        <w:br w:type="page"/>
      </w:r>
    </w:p>
    <w:p>
      <w:r>
        <w:bookmarkStart w:id="table-2-12" w:name="table-2-12"/>
        <w:bookmarkEnd w:id="table-2-12"/>
      </w:r>
    </w:p>
    <w:p>
      <w:pPr>
        <w:pStyle w:val="BodyText"/>
      </w:pPr>
      <w:r>
        <w:rPr>
          <w:bCs/>
          <w:b/>
        </w:rPr>
        <w:t xml:space="preserve">Table 2-12: Summary table for UGT1A1 and UGT1A9 Inhibition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w:t>
            </w:r>
          </w:p>
        </w:tc>
        <w:tc>
          <w:tcPr/>
          <w:p>
            <w:pPr>
              <w:pStyle w:val="Compact"/>
              <w:jc w:val="left"/>
            </w:pPr>
            <w:r>
              <w:t xml:space="preserve">100</w:t>
            </w:r>
          </w:p>
        </w:tc>
      </w:tr>
    </w:tbl>
    <w:p>
      <w:pPr>
        <w:pStyle w:val="BodyText"/>
      </w:pPr>
      <w:r>
        <w:t xml:space="preserve"> </w:t>
      </w:r>
    </w:p>
    <w:p>
      <w:pPr>
        <w:pStyle w:val="BodyText"/>
      </w:pPr>
    </w:p>
    <w:p>
      <w:r>
        <w:br w:type="page"/>
      </w:r>
    </w:p>
    <w:p>
      <w:r>
        <w:bookmarkStart w:id="table-2-13" w:name="table-2-13"/>
        <w:bookmarkEnd w:id="table-2-13"/>
      </w:r>
    </w:p>
    <w:p>
      <w:pPr>
        <w:pStyle w:val="BodyText"/>
      </w:pPr>
      <w:r>
        <w:rPr>
          <w:bCs/>
          <w:b/>
        </w:rPr>
        <w:t xml:space="preserve">Table 2-13: Summary table for UGT1A1 and UGT1A9 Inhibition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w:t>
            </w:r>
          </w:p>
        </w:tc>
        <w:tc>
          <w:tcPr/>
          <w:p>
            <w:pPr>
              <w:pStyle w:val="Compact"/>
              <w:jc w:val="left"/>
            </w:pPr>
            <w:r>
              <w:t xml:space="preserve">100</w:t>
            </w:r>
          </w:p>
        </w:tc>
      </w:tr>
    </w:tbl>
    <w:p>
      <w:pPr>
        <w:pStyle w:val="BodyText"/>
      </w:pPr>
      <w:r>
        <w:t xml:space="preserve"> </w:t>
      </w:r>
    </w:p>
    <w:p>
      <w:pPr>
        <w:pStyle w:val="BodyText"/>
      </w:pPr>
    </w:p>
    <w:p>
      <w:r>
        <w:bookmarkStart w:id="2-ddi-subunit-35" w:name="2-ddi-subunit-35"/>
        <w:bookmarkEnd w:id="2-ddi-subunit-35"/>
      </w:r>
    </w:p>
    <w:bookmarkEnd w:id="77"/>
    <w:bookmarkEnd w:id="78"/>
    <w:bookmarkStart w:id="105" w:name="victim"/>
    <w:p>
      <w:pPr>
        <w:pStyle w:val="Heading2"/>
      </w:pPr>
      <w:r>
        <w:t xml:space="preserve">Victim</w:t>
      </w:r>
    </w:p>
    <w:p>
      <w:pPr>
        <w:pStyle w:val="FirstParagraph"/>
      </w:pPr>
    </w:p>
    <w:p>
      <w:r>
        <w:bookmarkStart w:id="2-ddi-subunit-36" w:name="2-ddi-subunit-36"/>
        <w:bookmarkEnd w:id="2-ddi-subunit-36"/>
      </w:r>
    </w:p>
    <w:bookmarkStart w:id="91" w:name="dapagliflozin"/>
    <w:p>
      <w:pPr>
        <w:pStyle w:val="Heading3"/>
      </w:pPr>
      <w:r>
        <w:t xml:space="preserve">Dapagliflozin</w:t>
      </w:r>
    </w:p>
    <w:p>
      <w:pPr>
        <w:pStyle w:val="FirstParagraph"/>
      </w:pPr>
    </w:p>
    <w:p>
      <w:r>
        <w:br w:type="page"/>
      </w:r>
    </w:p>
    <w:p>
      <w:r>
        <w:bookmarkStart w:id="figure-2-17" w:name="figure-2-17"/>
        <w:bookmarkEnd w:id="figure-2-17"/>
      </w:r>
    </w:p>
    <w:p>
      <w:pPr>
        <w:pStyle w:val="BodyText"/>
      </w:pPr>
      <w:r>
        <w:drawing>
          <wp:inline>
            <wp:extent cx="5969000" cy="4150550"/>
            <wp:effectExtent b="0" l="0" r="0" t="0"/>
            <wp:docPr descr="" title="" id="80" name="Picture"/>
            <a:graphic>
              <a:graphicData uri="http://schemas.openxmlformats.org/drawingml/2006/picture">
                <pic:pic>
                  <pic:nvPicPr>
                    <pic:cNvPr descr="images/006_section_2/DDIRatio_1_victim_Dapagliflozin_ddi_ratio_plot_AUC_predictedVsObserved.png" id="81" name="Picture"/>
                    <pic:cNvPicPr>
                      <a:picLocks noChangeArrowheads="1" noChangeAspect="1"/>
                    </pic:cNvPicPr>
                  </pic:nvPicPr>
                  <pic:blipFill>
                    <a:blip r:embed="rId79"/>
                    <a:stretch>
                      <a:fillRect/>
                    </a:stretch>
                  </pic:blipFill>
                  <pic:spPr bwMode="auto">
                    <a:xfrm>
                      <a:off x="0" y="0"/>
                      <a:ext cx="5969000" cy="4150550"/>
                    </a:xfrm>
                    <a:prstGeom prst="rect">
                      <a:avLst/>
                    </a:prstGeom>
                    <a:noFill/>
                    <a:ln w="9525">
                      <a:noFill/>
                      <a:headEnd/>
                      <a:tailEnd/>
                    </a:ln>
                  </pic:spPr>
                </pic:pic>
              </a:graphicData>
            </a:graphic>
          </wp:inline>
        </w:drawing>
      </w:r>
    </w:p>
    <w:p>
      <w:pPr>
        <w:pStyle w:val="BodyText"/>
      </w:pPr>
      <w:r>
        <w:rPr>
          <w:bCs/>
          <w:b/>
        </w:rPr>
        <w:t xml:space="preserve">Figure 2-17: UGT1A1 and UGT1A9 Inhibition DDI. Victim: Dapagliflozin. Predicted vs. Observed AUC Ratio.</w:t>
      </w:r>
    </w:p>
    <w:p>
      <w:pPr>
        <w:pStyle w:val="BodyText"/>
      </w:pPr>
      <w:r>
        <w:t xml:space="preserve"> </w:t>
      </w:r>
    </w:p>
    <w:p>
      <w:pPr>
        <w:pStyle w:val="BodyText"/>
      </w:pPr>
    </w:p>
    <w:p>
      <w:r>
        <w:br w:type="page"/>
      </w:r>
    </w:p>
    <w:p>
      <w:r>
        <w:bookmarkStart w:id="figure-2-18" w:name="figure-2-18"/>
        <w:bookmarkEnd w:id="figure-2-18"/>
      </w:r>
    </w:p>
    <w:p>
      <w:pPr>
        <w:pStyle w:val="BodyText"/>
      </w:pPr>
      <w:r>
        <w:drawing>
          <wp:inline>
            <wp:extent cx="5969000" cy="2903178"/>
            <wp:effectExtent b="0" l="0" r="0" t="0"/>
            <wp:docPr descr="" title="" id="83" name="Picture"/>
            <a:graphic>
              <a:graphicData uri="http://schemas.openxmlformats.org/drawingml/2006/picture">
                <pic:pic>
                  <pic:nvPicPr>
                    <pic:cNvPr descr="images/006_section_2/DDIRatio_1_victim_Dapagliflozin_ddi_ratio_plot_AUC_residualsVsObserved.png" id="84" name="Picture"/>
                    <pic:cNvPicPr>
                      <a:picLocks noChangeArrowheads="1" noChangeAspect="1"/>
                    </pic:cNvPicPr>
                  </pic:nvPicPr>
                  <pic:blipFill>
                    <a:blip r:embed="rId82"/>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rPr>
          <w:bCs/>
          <w:b/>
        </w:rPr>
        <w:t xml:space="preserve">Figure 2-18: UGT1A1 and UGT1A9 Inhibition DDI. Victim: Dapagliflozin. Predicted/Observed vs. Observed AUC Ratio.</w:t>
      </w:r>
    </w:p>
    <w:p>
      <w:pPr>
        <w:pStyle w:val="BodyText"/>
      </w:pPr>
      <w:r>
        <w:t xml:space="preserve"> </w:t>
      </w:r>
    </w:p>
    <w:p>
      <w:pPr>
        <w:pStyle w:val="BodyText"/>
      </w:pPr>
    </w:p>
    <w:p>
      <w:r>
        <w:br w:type="page"/>
      </w:r>
    </w:p>
    <w:p>
      <w:r>
        <w:bookmarkStart w:id="figure-2-19" w:name="figure-2-19"/>
        <w:bookmarkEnd w:id="figure-2-19"/>
      </w:r>
    </w:p>
    <w:p>
      <w:pPr>
        <w:pStyle w:val="BodyText"/>
      </w:pPr>
      <w:r>
        <w:drawing>
          <wp:inline>
            <wp:extent cx="5969000" cy="4150550"/>
            <wp:effectExtent b="0" l="0" r="0" t="0"/>
            <wp:docPr descr="" title="" id="86" name="Picture"/>
            <a:graphic>
              <a:graphicData uri="http://schemas.openxmlformats.org/drawingml/2006/picture">
                <pic:pic>
                  <pic:nvPicPr>
                    <pic:cNvPr descr="images/006_section_2/DDIRatio_1_victim_Dapagliflozin_ddi_ratio_plot_CMAX_predictedVsObserved.png" id="87" name="Picture"/>
                    <pic:cNvPicPr>
                      <a:picLocks noChangeArrowheads="1" noChangeAspect="1"/>
                    </pic:cNvPicPr>
                  </pic:nvPicPr>
                  <pic:blipFill>
                    <a:blip r:embed="rId85"/>
                    <a:stretch>
                      <a:fillRect/>
                    </a:stretch>
                  </pic:blipFill>
                  <pic:spPr bwMode="auto">
                    <a:xfrm>
                      <a:off x="0" y="0"/>
                      <a:ext cx="5969000" cy="4150550"/>
                    </a:xfrm>
                    <a:prstGeom prst="rect">
                      <a:avLst/>
                    </a:prstGeom>
                    <a:noFill/>
                    <a:ln w="9525">
                      <a:noFill/>
                      <a:headEnd/>
                      <a:tailEnd/>
                    </a:ln>
                  </pic:spPr>
                </pic:pic>
              </a:graphicData>
            </a:graphic>
          </wp:inline>
        </w:drawing>
      </w:r>
    </w:p>
    <w:p>
      <w:pPr>
        <w:pStyle w:val="BodyText"/>
      </w:pPr>
      <w:r>
        <w:rPr>
          <w:bCs/>
          <w:b/>
        </w:rPr>
        <w:t xml:space="preserve">Figure 2-19: UGT1A1 and UGT1A9 Inhibition DDI. Victim: Dapagliflozin. Predicted vs. Observed CMAX Ratio.</w:t>
      </w:r>
    </w:p>
    <w:p>
      <w:pPr>
        <w:pStyle w:val="BodyText"/>
      </w:pPr>
      <w:r>
        <w:t xml:space="preserve"> </w:t>
      </w:r>
    </w:p>
    <w:p>
      <w:pPr>
        <w:pStyle w:val="BodyText"/>
      </w:pPr>
    </w:p>
    <w:p>
      <w:r>
        <w:br w:type="page"/>
      </w:r>
    </w:p>
    <w:p>
      <w:r>
        <w:bookmarkStart w:id="figure-2-20" w:name="figure-2-20"/>
        <w:bookmarkEnd w:id="figure-2-20"/>
      </w:r>
    </w:p>
    <w:p>
      <w:pPr>
        <w:pStyle w:val="BodyText"/>
      </w:pPr>
      <w:r>
        <w:drawing>
          <wp:inline>
            <wp:extent cx="5969000" cy="2903178"/>
            <wp:effectExtent b="0" l="0" r="0" t="0"/>
            <wp:docPr descr="" title="" id="89" name="Picture"/>
            <a:graphic>
              <a:graphicData uri="http://schemas.openxmlformats.org/drawingml/2006/picture">
                <pic:pic>
                  <pic:nvPicPr>
                    <pic:cNvPr descr="images/006_section_2/DDIRatio_1_victim_Dapagliflozin_ddi_ratio_plot_CMAX_residualsVsObserved.png" id="90" name="Picture"/>
                    <pic:cNvPicPr>
                      <a:picLocks noChangeArrowheads="1" noChangeAspect="1"/>
                    </pic:cNvPicPr>
                  </pic:nvPicPr>
                  <pic:blipFill>
                    <a:blip r:embed="rId88"/>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rPr>
          <w:bCs/>
          <w:b/>
        </w:rPr>
        <w:t xml:space="preserve">Figure 2-20: UGT1A1 and UGT1A9 Inhibition DDI. Victim: Dapagliflozin. Predicted/Observed vs. Observed CMAX Ratio.</w:t>
      </w:r>
    </w:p>
    <w:p>
      <w:pPr>
        <w:pStyle w:val="BodyText"/>
      </w:pPr>
      <w:r>
        <w:t xml:space="preserve"> </w:t>
      </w:r>
    </w:p>
    <w:p>
      <w:pPr>
        <w:pStyle w:val="BodyText"/>
      </w:pPr>
    </w:p>
    <w:p>
      <w:r>
        <w:br w:type="page"/>
      </w:r>
    </w:p>
    <w:p>
      <w:r>
        <w:bookmarkStart w:id="table-2-14" w:name="table-2-14"/>
        <w:bookmarkEnd w:id="table-2-14"/>
      </w:r>
    </w:p>
    <w:p>
      <w:pPr>
        <w:pStyle w:val="BodyText"/>
      </w:pPr>
      <w:r>
        <w:rPr>
          <w:bCs/>
          <w:b/>
        </w:rPr>
        <w:t xml:space="preserve">Table 2-14: GMFE for UGT1A1 and UGT1A9 Inhibition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1.07</w:t>
            </w:r>
          </w:p>
        </w:tc>
      </w:tr>
      <w:tr>
        <w:tc>
          <w:tcPr/>
          <w:p>
            <w:pPr>
              <w:pStyle w:val="Compact"/>
              <w:jc w:val="left"/>
            </w:pPr>
            <w:r>
              <w:t xml:space="preserve">CMAX</w:t>
            </w:r>
          </w:p>
        </w:tc>
        <w:tc>
          <w:tcPr/>
          <w:p>
            <w:pPr>
              <w:pStyle w:val="Compact"/>
              <w:jc w:val="left"/>
            </w:pPr>
            <w:r>
              <w:t xml:space="preserve">1.02</w:t>
            </w:r>
          </w:p>
        </w:tc>
      </w:tr>
    </w:tbl>
    <w:p>
      <w:pPr>
        <w:pStyle w:val="BodyText"/>
      </w:pPr>
      <w:r>
        <w:t xml:space="preserve"> </w:t>
      </w:r>
    </w:p>
    <w:p>
      <w:pPr>
        <w:pStyle w:val="BodyText"/>
      </w:pPr>
    </w:p>
    <w:p>
      <w:r>
        <w:br w:type="page"/>
      </w:r>
    </w:p>
    <w:p>
      <w:r>
        <w:bookmarkStart w:id="table-2-15" w:name="table-2-15"/>
        <w:bookmarkEnd w:id="table-2-15"/>
      </w:r>
    </w:p>
    <w:p>
      <w:pPr>
        <w:pStyle w:val="BodyText"/>
      </w:pPr>
      <w:r>
        <w:rPr>
          <w:bCs/>
          <w:b/>
        </w:rPr>
        <w:t xml:space="preserve">Table 2-15: Summary table for UGT1A1 and UGT1A9 Inhibition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w:t>
            </w:r>
          </w:p>
        </w:tc>
        <w:tc>
          <w:tcPr/>
          <w:p>
            <w:pPr>
              <w:pStyle w:val="Compact"/>
              <w:jc w:val="left"/>
            </w:pPr>
            <w:r>
              <w:t xml:space="preserve">100</w:t>
            </w:r>
          </w:p>
        </w:tc>
      </w:tr>
    </w:tbl>
    <w:p>
      <w:pPr>
        <w:pStyle w:val="BodyText"/>
      </w:pPr>
      <w:r>
        <w:t xml:space="preserve"> </w:t>
      </w:r>
    </w:p>
    <w:p>
      <w:pPr>
        <w:pStyle w:val="BodyText"/>
      </w:pPr>
    </w:p>
    <w:p>
      <w:r>
        <w:br w:type="page"/>
      </w:r>
    </w:p>
    <w:p>
      <w:r>
        <w:bookmarkStart w:id="table-2-16" w:name="table-2-16"/>
        <w:bookmarkEnd w:id="table-2-16"/>
      </w:r>
    </w:p>
    <w:p>
      <w:pPr>
        <w:pStyle w:val="BodyText"/>
      </w:pPr>
      <w:r>
        <w:rPr>
          <w:bCs/>
          <w:b/>
        </w:rPr>
        <w:t xml:space="preserve">Table 2-16: Summary table for UGT1A1 and UGT1A9 Inhibition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w:t>
            </w:r>
          </w:p>
        </w:tc>
        <w:tc>
          <w:tcPr/>
          <w:p>
            <w:pPr>
              <w:pStyle w:val="Compact"/>
              <w:jc w:val="left"/>
            </w:pPr>
            <w:r>
              <w:t xml:space="preserve">100</w:t>
            </w:r>
          </w:p>
        </w:tc>
      </w:tr>
    </w:tbl>
    <w:p>
      <w:pPr>
        <w:pStyle w:val="BodyText"/>
      </w:pPr>
      <w:r>
        <w:t xml:space="preserve"> </w:t>
      </w:r>
    </w:p>
    <w:p>
      <w:pPr>
        <w:pStyle w:val="BodyText"/>
      </w:pPr>
    </w:p>
    <w:p>
      <w:r>
        <w:bookmarkStart w:id="2-ddi-subunit-44" w:name="2-ddi-subunit-44"/>
        <w:bookmarkEnd w:id="2-ddi-subunit-44"/>
      </w:r>
    </w:p>
    <w:bookmarkEnd w:id="91"/>
    <w:bookmarkStart w:id="104" w:name="raltegravir"/>
    <w:p>
      <w:pPr>
        <w:pStyle w:val="Heading3"/>
      </w:pPr>
      <w:r>
        <w:t xml:space="preserve">Raltegravir</w:t>
      </w:r>
    </w:p>
    <w:p>
      <w:pPr>
        <w:pStyle w:val="FirstParagraph"/>
      </w:pPr>
    </w:p>
    <w:p>
      <w:r>
        <w:br w:type="page"/>
      </w:r>
    </w:p>
    <w:p>
      <w:r>
        <w:bookmarkStart w:id="figure-2-21" w:name="figure-2-21"/>
        <w:bookmarkEnd w:id="figure-2-21"/>
      </w:r>
    </w:p>
    <w:p>
      <w:pPr>
        <w:pStyle w:val="BodyText"/>
      </w:pPr>
      <w:r>
        <w:drawing>
          <wp:inline>
            <wp:extent cx="5969000" cy="4424045"/>
            <wp:effectExtent b="0" l="0" r="0" t="0"/>
            <wp:docPr descr="" title="" id="93" name="Picture"/>
            <a:graphic>
              <a:graphicData uri="http://schemas.openxmlformats.org/drawingml/2006/picture">
                <pic:pic>
                  <pic:nvPicPr>
                    <pic:cNvPr descr="images/006_section_2/DDIRatio_1_victim_Raltegravir_ddi_ratio_plot_AUC_predictedVsObserved.png" id="94" name="Picture"/>
                    <pic:cNvPicPr>
                      <a:picLocks noChangeArrowheads="1" noChangeAspect="1"/>
                    </pic:cNvPicPr>
                  </pic:nvPicPr>
                  <pic:blipFill>
                    <a:blip r:embed="rId92"/>
                    <a:stretch>
                      <a:fillRect/>
                    </a:stretch>
                  </pic:blipFill>
                  <pic:spPr bwMode="auto">
                    <a:xfrm>
                      <a:off x="0" y="0"/>
                      <a:ext cx="5969000" cy="4424045"/>
                    </a:xfrm>
                    <a:prstGeom prst="rect">
                      <a:avLst/>
                    </a:prstGeom>
                    <a:noFill/>
                    <a:ln w="9525">
                      <a:noFill/>
                      <a:headEnd/>
                      <a:tailEnd/>
                    </a:ln>
                  </pic:spPr>
                </pic:pic>
              </a:graphicData>
            </a:graphic>
          </wp:inline>
        </w:drawing>
      </w:r>
    </w:p>
    <w:p>
      <w:pPr>
        <w:pStyle w:val="BodyText"/>
      </w:pPr>
      <w:r>
        <w:rPr>
          <w:bCs/>
          <w:b/>
        </w:rPr>
        <w:t xml:space="preserve">Figure 2-21: UGT1A1 and UGT1A9 Inhibition DDI. Victim: Raltegravir. Predicted vs. Observed AUC Ratio.</w:t>
      </w:r>
    </w:p>
    <w:p>
      <w:pPr>
        <w:pStyle w:val="BodyText"/>
      </w:pPr>
      <w:r>
        <w:t xml:space="preserve"> </w:t>
      </w:r>
    </w:p>
    <w:p>
      <w:pPr>
        <w:pStyle w:val="BodyText"/>
      </w:pPr>
    </w:p>
    <w:p>
      <w:r>
        <w:br w:type="page"/>
      </w:r>
    </w:p>
    <w:p>
      <w:r>
        <w:bookmarkStart w:id="figure-2-22" w:name="figure-2-22"/>
        <w:bookmarkEnd w:id="figure-2-22"/>
      </w:r>
    </w:p>
    <w:p>
      <w:pPr>
        <w:pStyle w:val="BodyText"/>
      </w:pPr>
      <w:r>
        <w:drawing>
          <wp:inline>
            <wp:extent cx="5969000" cy="3051663"/>
            <wp:effectExtent b="0" l="0" r="0" t="0"/>
            <wp:docPr descr="" title="" id="96" name="Picture"/>
            <a:graphic>
              <a:graphicData uri="http://schemas.openxmlformats.org/drawingml/2006/picture">
                <pic:pic>
                  <pic:nvPicPr>
                    <pic:cNvPr descr="images/006_section_2/DDIRatio_1_victim_Raltegravir_ddi_ratio_plot_AUC_residualsVsObserved.png" id="97" name="Picture"/>
                    <pic:cNvPicPr>
                      <a:picLocks noChangeArrowheads="1" noChangeAspect="1"/>
                    </pic:cNvPicPr>
                  </pic:nvPicPr>
                  <pic:blipFill>
                    <a:blip r:embed="rId95"/>
                    <a:stretch>
                      <a:fillRect/>
                    </a:stretch>
                  </pic:blipFill>
                  <pic:spPr bwMode="auto">
                    <a:xfrm>
                      <a:off x="0" y="0"/>
                      <a:ext cx="5969000" cy="3051663"/>
                    </a:xfrm>
                    <a:prstGeom prst="rect">
                      <a:avLst/>
                    </a:prstGeom>
                    <a:noFill/>
                    <a:ln w="9525">
                      <a:noFill/>
                      <a:headEnd/>
                      <a:tailEnd/>
                    </a:ln>
                  </pic:spPr>
                </pic:pic>
              </a:graphicData>
            </a:graphic>
          </wp:inline>
        </w:drawing>
      </w:r>
    </w:p>
    <w:p>
      <w:pPr>
        <w:pStyle w:val="BodyText"/>
      </w:pPr>
      <w:r>
        <w:rPr>
          <w:bCs/>
          <w:b/>
        </w:rPr>
        <w:t xml:space="preserve">Figure 2-22: UGT1A1 and UGT1A9 Inhibition DDI. Victim: Raltegravir. Predicted/Observed vs. Observed AUC Ratio.</w:t>
      </w:r>
    </w:p>
    <w:p>
      <w:pPr>
        <w:pStyle w:val="BodyText"/>
      </w:pPr>
      <w:r>
        <w:t xml:space="preserve"> </w:t>
      </w:r>
    </w:p>
    <w:p>
      <w:pPr>
        <w:pStyle w:val="BodyText"/>
      </w:pPr>
    </w:p>
    <w:p>
      <w:r>
        <w:br w:type="page"/>
      </w:r>
    </w:p>
    <w:p>
      <w:r>
        <w:bookmarkStart w:id="figure-2-23" w:name="figure-2-23"/>
        <w:bookmarkEnd w:id="figure-2-23"/>
      </w:r>
    </w:p>
    <w:p>
      <w:pPr>
        <w:pStyle w:val="BodyText"/>
      </w:pPr>
      <w:r>
        <w:drawing>
          <wp:inline>
            <wp:extent cx="5969000" cy="4424045"/>
            <wp:effectExtent b="0" l="0" r="0" t="0"/>
            <wp:docPr descr="" title="" id="99" name="Picture"/>
            <a:graphic>
              <a:graphicData uri="http://schemas.openxmlformats.org/drawingml/2006/picture">
                <pic:pic>
                  <pic:nvPicPr>
                    <pic:cNvPr descr="images/006_section_2/DDIRatio_1_victim_Raltegravir_ddi_ratio_plot_CMAX_predictedVsObserved.png" id="100" name="Picture"/>
                    <pic:cNvPicPr>
                      <a:picLocks noChangeArrowheads="1" noChangeAspect="1"/>
                    </pic:cNvPicPr>
                  </pic:nvPicPr>
                  <pic:blipFill>
                    <a:blip r:embed="rId98"/>
                    <a:stretch>
                      <a:fillRect/>
                    </a:stretch>
                  </pic:blipFill>
                  <pic:spPr bwMode="auto">
                    <a:xfrm>
                      <a:off x="0" y="0"/>
                      <a:ext cx="5969000" cy="4424045"/>
                    </a:xfrm>
                    <a:prstGeom prst="rect">
                      <a:avLst/>
                    </a:prstGeom>
                    <a:noFill/>
                    <a:ln w="9525">
                      <a:noFill/>
                      <a:headEnd/>
                      <a:tailEnd/>
                    </a:ln>
                  </pic:spPr>
                </pic:pic>
              </a:graphicData>
            </a:graphic>
          </wp:inline>
        </w:drawing>
      </w:r>
    </w:p>
    <w:p>
      <w:pPr>
        <w:pStyle w:val="BodyText"/>
      </w:pPr>
      <w:r>
        <w:rPr>
          <w:bCs/>
          <w:b/>
        </w:rPr>
        <w:t xml:space="preserve">Figure 2-23: UGT1A1 and UGT1A9 Inhibition DDI. Victim: Raltegravir. Predicted vs. Observed CMAX Ratio.</w:t>
      </w:r>
    </w:p>
    <w:p>
      <w:pPr>
        <w:pStyle w:val="BodyText"/>
      </w:pPr>
      <w:r>
        <w:t xml:space="preserve"> </w:t>
      </w:r>
    </w:p>
    <w:p>
      <w:pPr>
        <w:pStyle w:val="BodyText"/>
      </w:pPr>
    </w:p>
    <w:p>
      <w:r>
        <w:br w:type="page"/>
      </w:r>
    </w:p>
    <w:p>
      <w:r>
        <w:bookmarkStart w:id="figure-2-24" w:name="figure-2-24"/>
        <w:bookmarkEnd w:id="figure-2-24"/>
      </w:r>
    </w:p>
    <w:p>
      <w:pPr>
        <w:pStyle w:val="BodyText"/>
      </w:pPr>
      <w:r>
        <w:drawing>
          <wp:inline>
            <wp:extent cx="5969000" cy="3051663"/>
            <wp:effectExtent b="0" l="0" r="0" t="0"/>
            <wp:docPr descr="" title="" id="102" name="Picture"/>
            <a:graphic>
              <a:graphicData uri="http://schemas.openxmlformats.org/drawingml/2006/picture">
                <pic:pic>
                  <pic:nvPicPr>
                    <pic:cNvPr descr="images/006_section_2/DDIRatio_1_victim_Raltegravir_ddi_ratio_plot_CMAX_residualsVsObserved.png" id="103" name="Picture"/>
                    <pic:cNvPicPr>
                      <a:picLocks noChangeArrowheads="1" noChangeAspect="1"/>
                    </pic:cNvPicPr>
                  </pic:nvPicPr>
                  <pic:blipFill>
                    <a:blip r:embed="rId101"/>
                    <a:stretch>
                      <a:fillRect/>
                    </a:stretch>
                  </pic:blipFill>
                  <pic:spPr bwMode="auto">
                    <a:xfrm>
                      <a:off x="0" y="0"/>
                      <a:ext cx="5969000" cy="3051663"/>
                    </a:xfrm>
                    <a:prstGeom prst="rect">
                      <a:avLst/>
                    </a:prstGeom>
                    <a:noFill/>
                    <a:ln w="9525">
                      <a:noFill/>
                      <a:headEnd/>
                      <a:tailEnd/>
                    </a:ln>
                  </pic:spPr>
                </pic:pic>
              </a:graphicData>
            </a:graphic>
          </wp:inline>
        </w:drawing>
      </w:r>
    </w:p>
    <w:p>
      <w:pPr>
        <w:pStyle w:val="BodyText"/>
      </w:pPr>
      <w:r>
        <w:rPr>
          <w:bCs/>
          <w:b/>
        </w:rPr>
        <w:t xml:space="preserve">Figure 2-24: UGT1A1 and UGT1A9 Inhibition DDI. Victim: Raltegravir. Predicted/Observed vs. Observed CMAX Ratio.</w:t>
      </w:r>
    </w:p>
    <w:p>
      <w:pPr>
        <w:pStyle w:val="BodyText"/>
      </w:pPr>
      <w:r>
        <w:t xml:space="preserve"> </w:t>
      </w:r>
    </w:p>
    <w:p>
      <w:pPr>
        <w:pStyle w:val="BodyText"/>
      </w:pPr>
    </w:p>
    <w:p>
      <w:r>
        <w:br w:type="page"/>
      </w:r>
    </w:p>
    <w:p>
      <w:r>
        <w:bookmarkStart w:id="table-2-17" w:name="table-2-17"/>
        <w:bookmarkEnd w:id="table-2-17"/>
      </w:r>
    </w:p>
    <w:p>
      <w:pPr>
        <w:pStyle w:val="BodyText"/>
      </w:pPr>
      <w:r>
        <w:rPr>
          <w:bCs/>
          <w:b/>
        </w:rPr>
        <w:t xml:space="preserve">Table 2-17: GMFE for UGT1A1 and UGT1A9 Inhibition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1.14</w:t>
            </w:r>
          </w:p>
        </w:tc>
      </w:tr>
      <w:tr>
        <w:tc>
          <w:tcPr/>
          <w:p>
            <w:pPr>
              <w:pStyle w:val="Compact"/>
              <w:jc w:val="left"/>
            </w:pPr>
            <w:r>
              <w:t xml:space="preserve">CMAX</w:t>
            </w:r>
          </w:p>
        </w:tc>
        <w:tc>
          <w:tcPr/>
          <w:p>
            <w:pPr>
              <w:pStyle w:val="Compact"/>
              <w:jc w:val="left"/>
            </w:pPr>
            <w:r>
              <w:t xml:space="preserve">1.12</w:t>
            </w:r>
          </w:p>
        </w:tc>
      </w:tr>
    </w:tbl>
    <w:p>
      <w:pPr>
        <w:pStyle w:val="BodyText"/>
      </w:pPr>
      <w:r>
        <w:t xml:space="preserve"> </w:t>
      </w:r>
    </w:p>
    <w:p>
      <w:pPr>
        <w:pStyle w:val="BodyText"/>
      </w:pPr>
    </w:p>
    <w:p>
      <w:r>
        <w:br w:type="page"/>
      </w:r>
    </w:p>
    <w:p>
      <w:r>
        <w:bookmarkStart w:id="table-2-18" w:name="table-2-18"/>
        <w:bookmarkEnd w:id="table-2-18"/>
      </w:r>
    </w:p>
    <w:p>
      <w:pPr>
        <w:pStyle w:val="BodyText"/>
      </w:pPr>
      <w:r>
        <w:rPr>
          <w:bCs/>
          <w:b/>
        </w:rPr>
        <w:t xml:space="preserve">Table 2-18: Summary table for UGT1A1 and UGT1A9 Inhibition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p>
      <w:pPr>
        <w:pStyle w:val="BodyText"/>
      </w:pPr>
    </w:p>
    <w:p>
      <w:r>
        <w:br w:type="page"/>
      </w:r>
    </w:p>
    <w:p>
      <w:r>
        <w:bookmarkStart w:id="table-2-19" w:name="table-2-19"/>
        <w:bookmarkEnd w:id="table-2-19"/>
      </w:r>
    </w:p>
    <w:p>
      <w:pPr>
        <w:pStyle w:val="BodyText"/>
      </w:pPr>
      <w:r>
        <w:rPr>
          <w:bCs/>
          <w:b/>
        </w:rPr>
        <w:t xml:space="preserve">Table 2-19: Summary table for UGT1A1 and UGT1A9 Inhibition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w:t>
            </w:r>
          </w:p>
        </w:tc>
        <w:tc>
          <w:tcPr/>
          <w:p>
            <w:pPr>
              <w:pStyle w:val="Compact"/>
              <w:jc w:val="left"/>
            </w:pPr>
            <w:r>
              <w:t xml:space="preserve">75</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p>
      <w:pPr>
        <w:pStyle w:val="BodyText"/>
      </w:pPr>
    </w:p>
    <w:p>
      <w:r>
        <w:bookmarkStart w:id="3" w:name="3"/>
        <w:bookmarkEnd w:id="3"/>
      </w:r>
    </w:p>
    <w:bookmarkEnd w:id="104"/>
    <w:bookmarkEnd w:id="105"/>
    <w:bookmarkEnd w:id="106"/>
    <w:bookmarkStart w:id="127" w:name="concentration-time-profiles"/>
    <w:p>
      <w:pPr>
        <w:pStyle w:val="Heading1"/>
      </w:pPr>
      <w:r>
        <w:t xml:space="preserve">3 Concentration-Time Profiles</w:t>
      </w:r>
    </w:p>
    <w:p>
      <w:pPr>
        <w:pStyle w:val="FirstParagraph"/>
      </w:pPr>
      <w:r>
        <w:t xml:space="preserve">The following section shows the correlations between observed and model-predicted AUC and C</w:t>
      </w:r>
      <w:r>
        <w:rPr>
          <w:vertAlign w:val="subscript"/>
        </w:rPr>
        <w:t xml:space="preserve">max</w:t>
      </w:r>
      <w:r>
        <w:t xml:space="preserve"> </w:t>
      </w:r>
      <w:r>
        <w:t xml:space="preserve">ratios, respectively.</w:t>
      </w:r>
    </w:p>
    <w:p>
      <w:pPr>
        <w:pStyle w:val="BodyText"/>
      </w:pPr>
      <w:r>
        <w:t xml:space="preserve">Specifically, the PBPK model performance for the PK parameters</w:t>
      </w:r>
      <w:r>
        <w:t xml:space="preserve"> </w:t>
      </w:r>
      <w:r>
        <w:rPr>
          <w:bCs/>
          <w:b/>
        </w:rPr>
        <w:t xml:space="preserve">AUC ratio (AUCR)</w:t>
      </w:r>
      <w:r>
        <w:t xml:space="preserve"> </w:t>
      </w:r>
      <w:r>
        <w:t xml:space="preserve">and</w:t>
      </w:r>
      <w:r>
        <w:t xml:space="preserve"> </w:t>
      </w:r>
      <w:r>
        <w:rPr>
          <w:bCs/>
          <w:b/>
        </w:rPr>
        <w:t xml:space="preserve">C</w:t>
      </w:r>
      <w:r>
        <w:rPr>
          <w:vertAlign w:val="subscript"/>
          <w:bCs/>
          <w:b/>
        </w:rPr>
        <w:t xml:space="preserve">max</w:t>
      </w:r>
      <w:r>
        <w:rPr>
          <w:bCs/>
          <w:b/>
        </w:rPr>
        <w:t xml:space="preserve"> </w:t>
      </w:r>
      <w:r>
        <w:rPr>
          <w:bCs/>
          <w:b/>
        </w:rPr>
        <w:t xml:space="preserve">ratio (CMAXR)</w:t>
      </w:r>
      <w:r>
        <w:t xml:space="preserve"> </w:t>
      </w:r>
      <w:r>
        <w:t xml:space="preserve">is assessed via:</w:t>
      </w:r>
    </w:p>
    <w:p>
      <w:pPr>
        <w:numPr>
          <w:ilvl w:val="0"/>
          <w:numId w:val="1004"/>
        </w:numPr>
      </w:pPr>
      <w:r>
        <w:t xml:space="preserve">predicted (</w:t>
      </w:r>
      <w:r>
        <w:rPr>
          <w:iCs/>
          <w:i/>
        </w:rPr>
        <w:t xml:space="preserve">Pred</w:t>
      </w:r>
      <w:r>
        <w:t xml:space="preserve">) vs. observed (</w:t>
      </w:r>
      <w:r>
        <w:rPr>
          <w:iCs/>
          <w:i/>
        </w:rPr>
        <w:t xml:space="preserve">Obs</w:t>
      </w:r>
      <w:r>
        <w:t xml:space="preserve">) plots</w:t>
      </w:r>
    </w:p>
    <w:p>
      <w:pPr>
        <w:numPr>
          <w:ilvl w:val="0"/>
          <w:numId w:val="1004"/>
        </w:numPr>
      </w:pPr>
      <w:r>
        <w:rPr>
          <w:iCs/>
          <w:i/>
        </w:rPr>
        <w:t xml:space="preserve">Pred</w:t>
      </w:r>
      <w:r>
        <w:t xml:space="preserve">/</w:t>
      </w:r>
      <w:r>
        <w:rPr>
          <w:iCs/>
          <w:i/>
        </w:rPr>
        <w:t xml:space="preserve">Obs</w:t>
      </w:r>
      <w:r>
        <w:t xml:space="preserve"> </w:t>
      </w:r>
      <w:r>
        <w:t xml:space="preserve">vs. </w:t>
      </w:r>
      <w:r>
        <w:rPr>
          <w:iCs/>
          <w:i/>
        </w:rPr>
        <w:t xml:space="preserve">Obs</w:t>
      </w:r>
      <w:r>
        <w:t xml:space="preserve"> </w:t>
      </w:r>
      <w:r>
        <w:t xml:space="preserve">plots</w:t>
      </w:r>
    </w:p>
    <w:p>
      <w:pPr>
        <w:numPr>
          <w:ilvl w:val="0"/>
          <w:numId w:val="1004"/>
        </w:numPr>
      </w:pPr>
      <w:r>
        <w:t xml:space="preserve">geometric mean fold error (GMFE):</w:t>
      </w:r>
    </w:p>
    <w:p>
      <w:pPr>
        <w:numPr>
          <w:ilvl w:val="0"/>
          <w:numId w:val="1000"/>
        </w:numPr>
        <w:pStyle w:val="CaptionedFigure"/>
      </w:pPr>
      <w:r>
        <w:drawing>
          <wp:inline>
            <wp:extent cx="1562100" cy="609600"/>
            <wp:effectExtent b="0" l="0" r="0" t="0"/>
            <wp:docPr descr="GMFE equation" title="" id="108" name="Picture"/>
            <a:graphic>
              <a:graphicData uri="http://schemas.openxmlformats.org/drawingml/2006/picture">
                <pic:pic>
                  <pic:nvPicPr>
                    <pic:cNvPr descr="images/GFME_equation.PNG" id="109" name="Picture"/>
                    <pic:cNvPicPr>
                      <a:picLocks noChangeArrowheads="1" noChangeAspect="1"/>
                    </pic:cNvPicPr>
                  </pic:nvPicPr>
                  <pic:blipFill>
                    <a:blip r:embed="rId107"/>
                    <a:stretch>
                      <a:fillRect/>
                    </a:stretch>
                  </pic:blipFill>
                  <pic:spPr bwMode="auto">
                    <a:xfrm>
                      <a:off x="0" y="0"/>
                      <a:ext cx="1562100" cy="609600"/>
                    </a:xfrm>
                    <a:prstGeom prst="rect">
                      <a:avLst/>
                    </a:prstGeom>
                    <a:noFill/>
                    <a:ln w="9525">
                      <a:noFill/>
                      <a:headEnd/>
                      <a:tailEnd/>
                    </a:ln>
                  </pic:spPr>
                </pic:pic>
              </a:graphicData>
            </a:graphic>
          </wp:inline>
        </w:drawing>
      </w:r>
    </w:p>
    <w:p>
      <w:pPr>
        <w:numPr>
          <w:ilvl w:val="0"/>
          <w:numId w:val="1000"/>
        </w:numPr>
        <w:pStyle w:val="ImageCaption"/>
      </w:pPr>
      <w:r>
        <w:t xml:space="preserve">GMFE equation</w:t>
      </w:r>
    </w:p>
    <w:p>
      <w:pPr>
        <w:numPr>
          <w:ilvl w:val="0"/>
          <w:numId w:val="1004"/>
        </w:numPr>
      </w:pPr>
      <w:r>
        <w:t xml:space="preserve">number of AUCR and CMAXR falling within 2-fold error range and within the limits as suggested by</w:t>
      </w:r>
      <w:r>
        <w:t xml:space="preserve"> </w:t>
      </w:r>
      <w:hyperlink w:anchor="X47fcd2a435082ab139852f996095019cfce88d0">
        <w:r>
          <w:rPr>
            <w:rStyle w:val="Hyperlink"/>
          </w:rPr>
          <w:t xml:space="preserve">Guest et al. 2011</w:t>
        </w:r>
      </w:hyperlink>
    </w:p>
    <w:p>
      <w:pPr>
        <w:numPr>
          <w:ilvl w:val="0"/>
          <w:numId w:val="1004"/>
        </w:numPr>
      </w:pPr>
      <w:r>
        <w:t xml:space="preserve">detailed table of results for each study</w:t>
      </w:r>
    </w:p>
    <w:p>
      <w:pPr>
        <w:pStyle w:val="FirstParagraph"/>
      </w:pPr>
      <w:r>
        <w:t xml:space="preserve">In the plots,</w:t>
      </w:r>
    </w:p>
    <w:p>
      <w:pPr>
        <w:numPr>
          <w:ilvl w:val="0"/>
          <w:numId w:val="1005"/>
        </w:numPr>
      </w:pPr>
      <w:r>
        <w:t xml:space="preserve">the dotted lines denote 0.50–2.00 (2-fold) criterion,</w:t>
      </w:r>
    </w:p>
    <w:p>
      <w:pPr>
        <w:numPr>
          <w:ilvl w:val="0"/>
          <w:numId w:val="1005"/>
        </w:numPr>
      </w:pPr>
      <w:r>
        <w:t xml:space="preserve">the solid lines denote the limits as suggested by</w:t>
      </w:r>
      <w:r>
        <w:t xml:space="preserve"> </w:t>
      </w:r>
      <w:hyperlink w:anchor="X47fcd2a435082ab139852f996095019cfce88d0">
        <w:r>
          <w:rPr>
            <w:rStyle w:val="Hyperlink"/>
          </w:rPr>
          <w:t xml:space="preserve">Guest et al. 2011</w:t>
        </w:r>
      </w:hyperlink>
      <w:r>
        <w:t xml:space="preserve">,</w:t>
      </w:r>
    </w:p>
    <w:p>
      <w:pPr>
        <w:numPr>
          <w:ilvl w:val="0"/>
          <w:numId w:val="1005"/>
        </w:numPr>
      </w:pPr>
      <w:r>
        <w:t xml:space="preserve">the bold solid line denotes the unity line,</w:t>
      </w:r>
    </w:p>
    <w:p>
      <w:pPr>
        <w:numPr>
          <w:ilvl w:val="0"/>
          <w:numId w:val="1005"/>
        </w:numPr>
      </w:pPr>
      <w:r>
        <w:t xml:space="preserve">each color represents one combination of drugs,</w:t>
      </w:r>
    </w:p>
    <w:p>
      <w:pPr>
        <w:numPr>
          <w:ilvl w:val="0"/>
          <w:numId w:val="1005"/>
        </w:numPr>
      </w:pPr>
      <w:r>
        <w:t xml:space="preserve">squares represent studies with intravenous administration of the victim drug and circles represent studies with oral administration of the victim drug.</w:t>
      </w:r>
    </w:p>
    <w:p>
      <w:r>
        <w:pict>
          <v:rect style="width:0;height:1.5pt" o:hralign="center" o:hrstd="t" o:hr="t"/>
        </w:pict>
      </w:r>
    </w:p>
    <w:p>
      <w:pPr>
        <w:pStyle w:val="FirstParagraph"/>
      </w:pPr>
    </w:p>
    <w:p>
      <w:r>
        <w:bookmarkStart w:id="31" w:name="31"/>
        <w:bookmarkEnd w:id="31"/>
      </w:r>
    </w:p>
    <w:bookmarkStart w:id="122" w:name="atazanavir---raltegravir-ddi-1"/>
    <w:p>
      <w:pPr>
        <w:pStyle w:val="Heading2"/>
      </w:pPr>
      <w:r>
        <w:t xml:space="preserve">3.1 Atazanavir - Raltegravir DDI</w:t>
      </w:r>
    </w:p>
    <w:p>
      <w:pPr>
        <w:pStyle w:val="FirstParagraph"/>
      </w:pPr>
    </w:p>
    <w:p>
      <w:r>
        <w:br w:type="page"/>
      </w:r>
    </w:p>
    <w:p>
      <w:r>
        <w:bookmarkStart w:id="figure-3-1" w:name="figure-3-1"/>
        <w:bookmarkEnd w:id="figure-3-1"/>
      </w:r>
    </w:p>
    <w:p>
      <w:pPr>
        <w:pStyle w:val="BodyText"/>
      </w:pPr>
      <w:r>
        <w:drawing>
          <wp:inline>
            <wp:extent cx="5969000" cy="4500148"/>
            <wp:effectExtent b="0" l="0" r="0" t="0"/>
            <wp:docPr descr="" title="" id="111" name="Picture"/>
            <a:graphic>
              <a:graphicData uri="http://schemas.openxmlformats.org/drawingml/2006/picture">
                <pic:pic>
                  <pic:nvPicPr>
                    <pic:cNvPr descr="images/007_section_3/008_section_31/comparison_time_profile_Iwamoto_2008_1.png" id="112" name="Picture"/>
                    <pic:cNvPicPr>
                      <a:picLocks noChangeArrowheads="1" noChangeAspect="1"/>
                    </pic:cNvPicPr>
                  </pic:nvPicPr>
                  <pic:blipFill>
                    <a:blip r:embed="rId11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 Iwamoto 2008</w:t>
      </w:r>
    </w:p>
    <w:p>
      <w:pPr>
        <w:pStyle w:val="BodyText"/>
      </w:pPr>
      <w:r>
        <w:t xml:space="preserve"> </w:t>
      </w:r>
    </w:p>
    <w:p>
      <w:pPr>
        <w:pStyle w:val="BodyText"/>
      </w:pPr>
    </w:p>
    <w:p>
      <w:r>
        <w:br w:type="page"/>
      </w:r>
    </w:p>
    <w:p>
      <w:r>
        <w:bookmarkStart w:id="figure-3-2" w:name="figure-3-2"/>
        <w:bookmarkEnd w:id="figure-3-2"/>
      </w:r>
    </w:p>
    <w:p>
      <w:pPr>
        <w:pStyle w:val="BodyText"/>
      </w:pPr>
      <w:r>
        <w:drawing>
          <wp:inline>
            <wp:extent cx="5969000" cy="4500148"/>
            <wp:effectExtent b="0" l="0" r="0" t="0"/>
            <wp:docPr descr="" title="" id="114" name="Picture"/>
            <a:graphic>
              <a:graphicData uri="http://schemas.openxmlformats.org/drawingml/2006/picture">
                <pic:pic>
                  <pic:nvPicPr>
                    <pic:cNvPr descr="images/007_section_3/008_section_31/comparison_time_profile_Krishna_2016_2.png" id="115" name="Picture"/>
                    <pic:cNvPicPr>
                      <a:picLocks noChangeArrowheads="1" noChangeAspect="1"/>
                    </pic:cNvPicPr>
                  </pic:nvPicPr>
                  <pic:blipFill>
                    <a:blip r:embed="rId11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 Krishna 2016</w:t>
      </w:r>
    </w:p>
    <w:p>
      <w:pPr>
        <w:pStyle w:val="BodyText"/>
      </w:pPr>
      <w:r>
        <w:t xml:space="preserve"> </w:t>
      </w:r>
    </w:p>
    <w:p>
      <w:pPr>
        <w:pStyle w:val="BodyText"/>
      </w:pPr>
    </w:p>
    <w:p>
      <w:r>
        <w:br w:type="page"/>
      </w:r>
    </w:p>
    <w:p>
      <w:r>
        <w:bookmarkStart w:id="figure-3-3" w:name="figure-3-3"/>
        <w:bookmarkEnd w:id="figure-3-3"/>
      </w:r>
    </w:p>
    <w:p>
      <w:pPr>
        <w:pStyle w:val="BodyText"/>
      </w:pPr>
      <w:r>
        <w:drawing>
          <wp:inline>
            <wp:extent cx="5969000" cy="4500148"/>
            <wp:effectExtent b="0" l="0" r="0" t="0"/>
            <wp:docPr descr="" title="" id="117" name="Picture"/>
            <a:graphic>
              <a:graphicData uri="http://schemas.openxmlformats.org/drawingml/2006/picture">
                <pic:pic>
                  <pic:nvPicPr>
                    <pic:cNvPr descr="images/007_section_3/008_section_31/comparison_time_profile_Neely_2010_3.png" id="118" name="Picture"/>
                    <pic:cNvPicPr>
                      <a:picLocks noChangeArrowheads="1" noChangeAspect="1"/>
                    </pic:cNvPicPr>
                  </pic:nvPicPr>
                  <pic:blipFill>
                    <a:blip r:embed="rId11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 Neely 2010</w:t>
      </w:r>
    </w:p>
    <w:p>
      <w:pPr>
        <w:pStyle w:val="BodyText"/>
      </w:pPr>
      <w:r>
        <w:t xml:space="preserve"> </w:t>
      </w:r>
    </w:p>
    <w:p>
      <w:pPr>
        <w:pStyle w:val="BodyText"/>
      </w:pPr>
    </w:p>
    <w:p>
      <w:r>
        <w:br w:type="page"/>
      </w:r>
    </w:p>
    <w:p>
      <w:r>
        <w:bookmarkStart w:id="figure-3-4" w:name="figure-3-4"/>
        <w:bookmarkEnd w:id="figure-3-4"/>
      </w:r>
    </w:p>
    <w:p>
      <w:pPr>
        <w:pStyle w:val="BodyText"/>
      </w:pPr>
      <w:r>
        <w:drawing>
          <wp:inline>
            <wp:extent cx="5969000" cy="4500148"/>
            <wp:effectExtent b="0" l="0" r="0" t="0"/>
            <wp:docPr descr="" title="" id="120" name="Picture"/>
            <a:graphic>
              <a:graphicData uri="http://schemas.openxmlformats.org/drawingml/2006/picture">
                <pic:pic>
                  <pic:nvPicPr>
                    <pic:cNvPr descr="images/007_section_3/008_section_31/comparison_time_profile_Zhu_2010_4.png" id="121" name="Picture"/>
                    <pic:cNvPicPr>
                      <a:picLocks noChangeArrowheads="1" noChangeAspect="1"/>
                    </pic:cNvPicPr>
                  </pic:nvPicPr>
                  <pic:blipFill>
                    <a:blip r:embed="rId11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 Zhu 2010</w:t>
      </w:r>
    </w:p>
    <w:p>
      <w:pPr>
        <w:pStyle w:val="BodyText"/>
      </w:pPr>
      <w:r>
        <w:t xml:space="preserve"> </w:t>
      </w:r>
    </w:p>
    <w:p>
      <w:pPr>
        <w:pStyle w:val="BodyText"/>
      </w:pPr>
    </w:p>
    <w:p>
      <w:r>
        <w:bookmarkStart w:id="32" w:name="32"/>
        <w:bookmarkEnd w:id="32"/>
      </w:r>
    </w:p>
    <w:bookmarkEnd w:id="122"/>
    <w:bookmarkStart w:id="126" w:name="mefenamic-acid---dapagliflozin-ddi-1"/>
    <w:p>
      <w:pPr>
        <w:pStyle w:val="Heading2"/>
      </w:pPr>
      <w:r>
        <w:t xml:space="preserve">3.2 Mefenamic acid - Dapagliflozin DDI</w:t>
      </w:r>
    </w:p>
    <w:p>
      <w:pPr>
        <w:pStyle w:val="FirstParagraph"/>
      </w:pPr>
    </w:p>
    <w:p>
      <w:r>
        <w:br w:type="page"/>
      </w:r>
    </w:p>
    <w:p>
      <w:r>
        <w:bookmarkStart w:id="figure-3-5" w:name="figure-3-5"/>
        <w:bookmarkEnd w:id="figure-3-5"/>
      </w:r>
    </w:p>
    <w:p>
      <w:pPr>
        <w:pStyle w:val="BodyText"/>
      </w:pPr>
      <w:r>
        <w:drawing>
          <wp:inline>
            <wp:extent cx="5969000" cy="4500148"/>
            <wp:effectExtent b="0" l="0" r="0" t="0"/>
            <wp:docPr descr="" title="" id="124" name="Picture"/>
            <a:graphic>
              <a:graphicData uri="http://schemas.openxmlformats.org/drawingml/2006/picture">
                <pic:pic>
                  <pic:nvPicPr>
                    <pic:cNvPr descr="images/007_section_3/009_section_32/comparison_time_profile_Kasichayanula_2013a_5.png" id="125" name="Picture"/>
                    <pic:cNvPicPr>
                      <a:picLocks noChangeArrowheads="1" noChangeAspect="1"/>
                    </pic:cNvPicPr>
                  </pic:nvPicPr>
                  <pic:blipFill>
                    <a:blip r:embed="rId12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3-5: Kasichayanula 2013a</w:t>
      </w:r>
    </w:p>
    <w:p>
      <w:pPr>
        <w:pStyle w:val="BodyText"/>
      </w:pPr>
      <w:r>
        <w:t xml:space="preserve"> </w:t>
      </w:r>
    </w:p>
    <w:p>
      <w:pPr>
        <w:pStyle w:val="BodyText"/>
      </w:pPr>
    </w:p>
    <w:p>
      <w:r>
        <w:bookmarkStart w:id="4" w:name="4"/>
        <w:bookmarkEnd w:id="4"/>
      </w:r>
    </w:p>
    <w:bookmarkEnd w:id="126"/>
    <w:bookmarkEnd w:id="127"/>
    <w:bookmarkStart w:id="128" w:name="references"/>
    <w:p>
      <w:pPr>
        <w:pStyle w:val="Heading1"/>
      </w:pPr>
      <w:r>
        <w:t xml:space="preserve">4 References</w:t>
      </w:r>
    </w:p>
    <w:p>
      <w:pPr>
        <w:pStyle w:val="FirstParagraph"/>
      </w:pPr>
      <w:r>
        <w:rPr>
          <w:bCs/>
          <w:b/>
        </w:rPr>
        <w:t xml:space="preserve">Guest 2011</w:t>
      </w:r>
      <w:r>
        <w:t xml:space="preserve"> </w:t>
      </w:r>
      <w:r>
        <w:t xml:space="preserve">Guest EJ, Aarons L, Houston JB, Rostami-Hodjegan A, Galetin A. Critique of the twofold measure of prediction success for ratios: application for the assessment of drug-drug</w:t>
      </w:r>
      <w:r>
        <w:t xml:space="preserve"> </w:t>
      </w:r>
      <w:r>
        <w:t xml:space="preserve">interactions. Drug metabolism and disposition: the biological fate of chemicals. 2011;39(2):170-3</w:t>
      </w:r>
    </w:p>
    <w:p>
      <w:pPr>
        <w:pStyle w:val="BodyText"/>
      </w:pPr>
      <w:r>
        <w:rPr>
          <w:bCs/>
          <w:b/>
        </w:rPr>
        <w:t xml:space="preserve">Iwamoto 2008</w:t>
      </w:r>
      <w:r>
        <w:t xml:space="preserve"> </w:t>
      </w:r>
      <w:r>
        <w:t xml:space="preserve">Iwamoto M, Wenning LA, Mistry GC, Petry AS, Liou SY, Ghosh K, et al. Atazanavir modestly increases plasma levels of raltegravir in healthy subjects. Clinical infectious diseases :</w:t>
      </w:r>
      <w:r>
        <w:t xml:space="preserve"> </w:t>
      </w:r>
      <w:r>
        <w:t xml:space="preserve">an official publication of the Infectious Diseases Society of America. 2008;47(1):137-40.</w:t>
      </w:r>
    </w:p>
    <w:p>
      <w:pPr>
        <w:pStyle w:val="BodyText"/>
      </w:pPr>
      <w:r>
        <w:rPr>
          <w:bCs/>
          <w:b/>
        </w:rPr>
        <w:t xml:space="preserve">Kasichayanula 2013</w:t>
      </w:r>
      <w:r>
        <w:t xml:space="preserve"> </w:t>
      </w:r>
      <w:r>
        <w:t xml:space="preserve">Kasichayanula S, Liu X, Griffen SC, Lacreta FP, Boulton DW. Effects of</w:t>
      </w:r>
      <w:r>
        <w:t xml:space="preserve"> </w:t>
      </w:r>
      <w:r>
        <w:t xml:space="preserve">rifampin and mefenamic acid on the pharmacokinetics and pharmacodynamics of dapagliflozin.</w:t>
      </w:r>
      <w:r>
        <w:t xml:space="preserve"> </w:t>
      </w:r>
      <w:r>
        <w:t xml:space="preserve">Diabetes, obesity &amp; metabolism. 2013;15(3):280-3.</w:t>
      </w:r>
    </w:p>
    <w:p>
      <w:pPr>
        <w:pStyle w:val="BodyText"/>
      </w:pPr>
      <w:r>
        <w:rPr>
          <w:bCs/>
          <w:b/>
        </w:rPr>
        <w:t xml:space="preserve">Krishna 2008</w:t>
      </w:r>
      <w:r>
        <w:t xml:space="preserve"> </w:t>
      </w:r>
      <w:r>
        <w:t xml:space="preserve">Krishna R, East L, Larson P, Valiathan C, Deschamps K, Luk JA, et al. Atazanavir</w:t>
      </w:r>
      <w:r>
        <w:t xml:space="preserve"> </w:t>
      </w:r>
      <w:r>
        <w:t xml:space="preserve">increases the plasma concentrations of 1200 mg raltegravir dose. Biopharmaceutics &amp; drug</w:t>
      </w:r>
      <w:r>
        <w:t xml:space="preserve"> </w:t>
      </w:r>
      <w:r>
        <w:t xml:space="preserve">disposition. 2016;37(9):533-41.</w:t>
      </w:r>
    </w:p>
    <w:p>
      <w:pPr>
        <w:pStyle w:val="BodyText"/>
      </w:pPr>
      <w:r>
        <w:rPr>
          <w:bCs/>
          <w:b/>
        </w:rPr>
        <w:t xml:space="preserve">Neely 2010</w:t>
      </w:r>
      <w:r>
        <w:t xml:space="preserve"> </w:t>
      </w:r>
      <w:r>
        <w:t xml:space="preserve">Neely M, Decosterd L, Fayet A, Lee JS, Margol A, Kanani M, et al. Pharmacokinetics and pharmacogenomics of once-daily raltegravir and atazanavir in healthy volunteers.</w:t>
      </w:r>
      <w:r>
        <w:t xml:space="preserve"> </w:t>
      </w:r>
      <w:r>
        <w:t xml:space="preserve">Antimicrobial agents and chemotherapy. 2010;54(11):4619-25.</w:t>
      </w:r>
    </w:p>
    <w:p>
      <w:pPr>
        <w:pStyle w:val="BodyText"/>
      </w:pPr>
      <w:r>
        <w:rPr>
          <w:bCs/>
          <w:b/>
        </w:rPr>
        <w:t xml:space="preserve">Zhu 2010</w:t>
      </w:r>
      <w:r>
        <w:t xml:space="preserve"> </w:t>
      </w:r>
      <w:r>
        <w:t xml:space="preserve">Zhu L, Butterton J, Persson A, Stonier M, Comisar W, Panebianco D, et al.</w:t>
      </w:r>
      <w:r>
        <w:t xml:space="preserve"> </w:t>
      </w:r>
      <w:r>
        <w:t xml:space="preserve">Pharmacokinetics and safety of twice-daily atazanavir 300 mg and raltegravir 400 mg in healthy</w:t>
      </w:r>
      <w:r>
        <w:t xml:space="preserve"> </w:t>
      </w:r>
      <w:r>
        <w:t xml:space="preserve">individuals. Antiviral therapy. 2010;15(8):1107-14.</w:t>
      </w:r>
    </w:p>
    <w:p>
      <w:pPr>
        <w:pStyle w:val="BodyText"/>
      </w:pPr>
    </w:p>
    <w:p>
      <w:r>
        <w:bookmarkStart w:id="5" w:name="5"/>
        <w:bookmarkEnd w:id="5"/>
      </w:r>
    </w:p>
    <w:bookmarkEnd w:id="128"/>
    <w:bookmarkStart w:id="159" w:name="appendix"/>
    <w:p>
      <w:pPr>
        <w:pStyle w:val="Heading1"/>
      </w:pPr>
      <w:r>
        <w:t xml:space="preserve">5 Appendix</w:t>
      </w:r>
    </w:p>
    <w:p>
      <w:pPr>
        <w:pStyle w:val="FirstParagraph"/>
      </w:pPr>
    </w:p>
    <w:p>
      <w:r>
        <w:bookmarkStart w:id="51" w:name="51"/>
        <w:bookmarkEnd w:id="51"/>
      </w:r>
    </w:p>
    <w:bookmarkStart w:id="133" w:name="Xf2129835e9665e0ef6a32e8c0dde4d7bc9979ae"/>
    <w:p>
      <w:pPr>
        <w:pStyle w:val="Heading2"/>
      </w:pPr>
      <w:r>
        <w:t xml:space="preserve">5.1 Open Systems Pharmacology Suite (OSPS) Introduction</w:t>
      </w:r>
    </w:p>
    <w:p>
      <w:pPr>
        <w:pStyle w:val="FirstParagraph"/>
      </w:pPr>
      <w:r>
        <w:t xml:space="preserve">Open Systems Pharmacology Suite (OSP suite) is a tool for PBPK modeling and simulation of drugs in laboratory animals and humans. PK-Sim® and MoBi® are part of the OSP suite [</w:t>
      </w:r>
      <w:hyperlink w:anchor="references-for-osps-introduction">
        <w:r>
          <w:rPr>
            <w:rStyle w:val="Hyperlink"/>
          </w:rPr>
          <w:t xml:space="preserve">1</w:t>
        </w:r>
      </w:hyperlink>
      <w:r>
        <w:t xml:space="preserve">]. PK-Sim® is based on a generic PBPK-model with 18 organs and tissues. One of the main assumptions is that all compartments are well-stirred. Represented organs/tissues include arterial and venous blood, adipose tissue (separable adipose, excluding yellow marrow), brain, lung, bone (including yellow marrow), gonads, heart, kidneys, large intestine, liver, muscle, portal vein, pancreas, skin, small intestine, spleen and stomach, as shown in</w:t>
      </w:r>
      <w:r>
        <w:t xml:space="preserve"> </w:t>
      </w:r>
      <w:r>
        <w:rPr>
          <w:bCs/>
          <w:b/>
        </w:rPr>
        <w:t xml:space="preserve">Figure 1</w:t>
      </w:r>
      <w:r>
        <w:t xml:space="preserve">.</w:t>
      </w:r>
    </w:p>
    <w:p>
      <w:pPr>
        <w:pStyle w:val="BodyText"/>
      </w:pPr>
      <w:r>
        <w:t xml:space="preserve">Each organ consists of four sub-compartments namely the plasma, blood cells (which together build the vascular space), interstitial space, and cellular space. Distribution between the plasma and blood cells as well as between the interstitial and cellular compartments can be permeability-limited. In the brain, the permeation barrier is located between the vascular and the interstitial space. PK-Sim® estimates model parameters (intestinal permeability [</w:t>
      </w:r>
      <w:hyperlink w:anchor="references-for-osps-introduction">
        <w:r>
          <w:rPr>
            <w:rStyle w:val="Hyperlink"/>
          </w:rPr>
          <w:t xml:space="preserve">2</w:t>
        </w:r>
      </w:hyperlink>
      <w:r>
        <w:t xml:space="preserve">] organ partition coefficients (tissue-to-plasma partition coefficients) [</w:t>
      </w:r>
      <w:hyperlink w:anchor="references-for-osps-introduction">
        <w:r>
          <w:rPr>
            <w:rStyle w:val="Hyperlink"/>
          </w:rPr>
          <w:t xml:space="preserve">3,4</w:t>
        </w:r>
      </w:hyperlink>
      <w:r>
        <w:t xml:space="preserve">], and permeabilities) from physico-chemical properties of compounds (molecular weight, pKa, acid/base properties) and the composition of each tissue compartment (lipids, water and proteins). Partition coefficients can be calculated using a variety of methods available in PK-Sim®, for example the internal PK-Sim® method [</w:t>
      </w:r>
      <w:hyperlink w:anchor="references-for-osps-introduction">
        <w:r>
          <w:rPr>
            <w:rStyle w:val="Hyperlink"/>
          </w:rPr>
          <w:t xml:space="preserve">3,4</w:t>
        </w:r>
      </w:hyperlink>
      <w:r>
        <w:t xml:space="preserve">] or that of Rodgers and Rowland [</w:t>
      </w:r>
      <w:hyperlink w:anchor="references-for-osps-introduction">
        <w:r>
          <w:rPr>
            <w:rStyle w:val="Hyperlink"/>
          </w:rPr>
          <w:t xml:space="preserve">5-7</w:t>
        </w:r>
      </w:hyperlink>
      <w:r>
        <w:t xml:space="preserve">].</w:t>
      </w:r>
    </w:p>
    <w:p>
      <w:pPr>
        <w:pStyle w:val="BodyText"/>
      </w:pPr>
      <w:r>
        <w:t xml:space="preserve">Physiological databases included in the software incorporate the dependencies of organ composition, organ weights, organ blood flows and gastrointestinal parameters (gastrointestinal length, radius of each section, intestinal surface area, gastrointestinal transit times, and pH in different intestinal segments [</w:t>
      </w:r>
      <w:hyperlink w:anchor="references-for-osps-introduction">
        <w:r>
          <w:rPr>
            <w:rStyle w:val="Hyperlink"/>
          </w:rPr>
          <w:t xml:space="preserve">2</w:t>
        </w:r>
      </w:hyperlink>
      <w:r>
        <w:t xml:space="preserve">]), with the user-defined body weight and height and ethnicity of the individual [</w:t>
      </w:r>
      <w:hyperlink w:anchor="references-for-osps-introduction">
        <w:r>
          <w:rPr>
            <w:rStyle w:val="Hyperlink"/>
          </w:rPr>
          <w:t xml:space="preserve">8</w:t>
        </w:r>
      </w:hyperlink>
      <w:r>
        <w:t xml:space="preserve">]. Thereby, PK Sim® allows generating realistic virtual populations. For a detailed description of the PBPK model structure implemented in PK Sim®, see Willmann et al. [</w:t>
      </w:r>
      <w:hyperlink w:anchor="references-for-osps-introduction">
        <w:r>
          <w:rPr>
            <w:rStyle w:val="Hyperlink"/>
          </w:rPr>
          <w:t xml:space="preserve">2,4,8,9</w:t>
        </w:r>
      </w:hyperlink>
      <w:r>
        <w:t xml:space="preserve">] or the OSP Suite homepage (</w:t>
      </w:r>
      <w:hyperlink r:id="rId129">
        <w:r>
          <w:rPr>
            <w:rStyle w:val="Hyperlink"/>
          </w:rPr>
          <w:t xml:space="preserve">https://docs.open-systems-pharmacology.org/mechanistic-modeling-of-pharmacokinetics-and-dynamics/modeling-concepts</w:t>
        </w:r>
      </w:hyperlink>
      <w:r>
        <w:t xml:space="preserve">).</w:t>
      </w:r>
    </w:p>
    <w:p>
      <w:pPr>
        <w:pStyle w:val="BodyText"/>
      </w:pPr>
      <w:r>
        <w:rPr>
          <w:bCs/>
          <w:b/>
        </w:rPr>
        <w:t xml:space="preserve">Figure</w:t>
      </w:r>
      <w:r>
        <w:t xml:space="preserve"> </w:t>
      </w:r>
      <w:r>
        <w:rPr>
          <w:bCs/>
          <w:b/>
        </w:rPr>
        <w:t xml:space="preserve">1: Structure of the Whole Body PBPK Model integrated in PK-Sim®</w:t>
      </w:r>
    </w:p>
    <w:p>
      <w:pPr>
        <w:pStyle w:val="BodyText"/>
      </w:pPr>
    </w:p>
    <w:p>
      <w:r>
        <w:br w:type="page"/>
      </w:r>
    </w:p>
    <w:p>
      <w:r>
        <w:bookmarkStart w:id="figure-5-1" w:name="figure-5-1"/>
        <w:bookmarkEnd w:id="figure-5-1"/>
      </w:r>
    </w:p>
    <w:p>
      <w:pPr>
        <w:pStyle w:val="CaptionedFigure"/>
      </w:pPr>
      <w:r>
        <w:drawing>
          <wp:inline>
            <wp:extent cx="5969000" cy="7652384"/>
            <wp:effectExtent b="0" l="0" r="0" t="0"/>
            <wp:docPr descr="generic PBPK model" title="" id="131" name="Picture"/>
            <a:graphic>
              <a:graphicData uri="http://schemas.openxmlformats.org/drawingml/2006/picture">
                <pic:pic>
                  <pic:nvPicPr>
                    <pic:cNvPr descr="images/PK-Sim_PBPK_generic_model_scheme.png" id="132" name="Picture"/>
                    <pic:cNvPicPr>
                      <a:picLocks noChangeArrowheads="1" noChangeAspect="1"/>
                    </pic:cNvPicPr>
                  </pic:nvPicPr>
                  <pic:blipFill>
                    <a:blip r:embed="rId130"/>
                    <a:stretch>
                      <a:fillRect/>
                    </a:stretch>
                  </pic:blipFill>
                  <pic:spPr bwMode="auto">
                    <a:xfrm>
                      <a:off x="0" y="0"/>
                      <a:ext cx="5969000" cy="7652384"/>
                    </a:xfrm>
                    <a:prstGeom prst="rect">
                      <a:avLst/>
                    </a:prstGeom>
                    <a:noFill/>
                    <a:ln w="9525">
                      <a:noFill/>
                      <a:headEnd/>
                      <a:tailEnd/>
                    </a:ln>
                  </pic:spPr>
                </pic:pic>
              </a:graphicData>
            </a:graphic>
          </wp:inline>
        </w:drawing>
      </w:r>
    </w:p>
    <w:p>
      <w:pPr>
        <w:pStyle w:val="ImageCaption"/>
      </w:pPr>
      <w:r>
        <w:t xml:space="preserve">generic PBPK model</w:t>
      </w:r>
    </w:p>
    <w:bookmarkEnd w:id="133"/>
    <w:bookmarkStart w:id="143" w:name="references-for-osps-introduction"/>
    <w:p>
      <w:pPr>
        <w:pStyle w:val="Heading2"/>
      </w:pPr>
      <w:r>
        <w:t xml:space="preserve">References for OSPS introduction</w:t>
      </w:r>
    </w:p>
    <w:p>
      <w:pPr>
        <w:pStyle w:val="FirstParagraph"/>
      </w:pPr>
      <w:r>
        <w:t xml:space="preserve">[1]</w:t>
      </w:r>
      <w:r>
        <w:t xml:space="preserve"> </w:t>
      </w:r>
      <w:hyperlink r:id="rId134">
        <w:r>
          <w:rPr>
            <w:rStyle w:val="Hyperlink"/>
          </w:rPr>
          <w:t xml:space="preserve">www.open-systems-pharmacology.org</w:t>
        </w:r>
      </w:hyperlink>
    </w:p>
    <w:p>
      <w:pPr>
        <w:pStyle w:val="BodyText"/>
      </w:pPr>
      <w:r>
        <w:t xml:space="preserve">[2]</w:t>
      </w:r>
      <w:r>
        <w:t xml:space="preserve"> </w:t>
      </w:r>
      <w:hyperlink r:id="rId135">
        <w:r>
          <w:rPr>
            <w:rStyle w:val="Hyperlink"/>
          </w:rPr>
          <w:t xml:space="preserve">Willmann S, Schmitt W, Keldenich J, Lippert J, Dressman JB. A physiological model for the estimation of the fraction dose absorbed in humans.J Med Chem. 2004 Jul 29;47(16):4022-31.</w:t>
        </w:r>
      </w:hyperlink>
    </w:p>
    <w:p>
      <w:pPr>
        <w:pStyle w:val="BodyText"/>
      </w:pPr>
      <w:r>
        <w:t xml:space="preserve">[3]</w:t>
      </w:r>
      <w:r>
        <w:t xml:space="preserve"> </w:t>
      </w:r>
      <w:hyperlink r:id="rId136">
        <w:r>
          <w:rPr>
            <w:rStyle w:val="Hyperlink"/>
          </w:rPr>
          <w:t xml:space="preserve">Haerter MW, K.J., Schmitt W,</w:t>
        </w:r>
        <w:r>
          <w:rPr>
            <w:rStyle w:val="Hyperlink"/>
          </w:rPr>
          <w:t xml:space="preserve"> </w:t>
        </w:r>
        <w:r>
          <w:rPr>
            <w:rStyle w:val="Hyperlink"/>
            <w:iCs/>
            <w:i/>
          </w:rPr>
          <w:t xml:space="preserve">Estimation of physicochemical and ADME parameters.</w:t>
        </w:r>
        <w:r>
          <w:rPr>
            <w:rStyle w:val="Hyperlink"/>
          </w:rPr>
          <w:t xml:space="preserve"> </w:t>
        </w:r>
        <w:r>
          <w:rPr>
            <w:rStyle w:val="Hyperlink"/>
          </w:rPr>
          <w:t xml:space="preserve">, in</w:t>
        </w:r>
        <w:r>
          <w:rPr>
            <w:rStyle w:val="Hyperlink"/>
          </w:rPr>
          <w:t xml:space="preserve"> </w:t>
        </w:r>
        <w:r>
          <w:rPr>
            <w:rStyle w:val="Hyperlink"/>
            <w:iCs/>
            <w:i/>
          </w:rPr>
          <w:t xml:space="preserve">Handbook of Combinatorial Chemistry: Drugs, Catalysts, Materials</w:t>
        </w:r>
        <w:r>
          <w:rPr>
            <w:rStyle w:val="Hyperlink"/>
          </w:rPr>
          <w:t xml:space="preserve">, H.W. Nicolaou KC HR, Editor. 2002, Wiley VCH Verlag GmbH: Weinheim, Germany. p. 743-60.</w:t>
        </w:r>
      </w:hyperlink>
    </w:p>
    <w:p>
      <w:pPr>
        <w:pStyle w:val="BodyText"/>
      </w:pPr>
      <w:r>
        <w:t xml:space="preserve">[4]</w:t>
      </w:r>
      <w:r>
        <w:t xml:space="preserve"> </w:t>
      </w:r>
      <w:hyperlink r:id="rId137">
        <w:r>
          <w:rPr>
            <w:rStyle w:val="Hyperlink"/>
          </w:rPr>
          <w:t xml:space="preserve">Willmann S, Lippert J, Schmitt W. From physicochemistry to absorption and distribution: predictive mechanistic modelling and computational tools. Expert Opin Drug Metab Toxicol. 2005 Jun;1(1):159-68.</w:t>
        </w:r>
      </w:hyperlink>
    </w:p>
    <w:p>
      <w:pPr>
        <w:pStyle w:val="BodyText"/>
      </w:pPr>
      <w:r>
        <w:t xml:space="preserve">[5]</w:t>
      </w:r>
      <w:r>
        <w:t xml:space="preserve"> </w:t>
      </w:r>
      <w:hyperlink r:id="rId138">
        <w:r>
          <w:rPr>
            <w:rStyle w:val="Hyperlink"/>
          </w:rPr>
          <w:t xml:space="preserve">Rodgers, T, D. Leahy, and M. Rowland. Physiologically based pharmacokinetic modeling 1: predicting the tissue distribution of moderate-to-strong bases. J Pharm Sci. 2005 Jun;94(6):1259-76.</w:t>
        </w:r>
      </w:hyperlink>
    </w:p>
    <w:p>
      <w:pPr>
        <w:pStyle w:val="BodyText"/>
      </w:pPr>
      <w:r>
        <w:t xml:space="preserve">[6]</w:t>
      </w:r>
      <w:r>
        <w:t xml:space="preserve"> </w:t>
      </w:r>
      <w:hyperlink r:id="rId139">
        <w:r>
          <w:rPr>
            <w:rStyle w:val="Hyperlink"/>
          </w:rPr>
          <w:t xml:space="preserve">Rodgers T, Rowland M. Physiologically based pharmacokinetic modelling 2: predicting the tissue distribution of acids, very weak bases, neutrals and zwitterions. J Pharm Sci. 2006 Jun;95(6):1238-57.</w:t>
        </w:r>
      </w:hyperlink>
    </w:p>
    <w:p>
      <w:pPr>
        <w:pStyle w:val="BodyText"/>
      </w:pPr>
      <w:r>
        <w:t xml:space="preserve">[7]</w:t>
      </w:r>
      <w:r>
        <w:t xml:space="preserve"> </w:t>
      </w:r>
      <w:hyperlink r:id="rId140">
        <w:r>
          <w:rPr>
            <w:rStyle w:val="Hyperlink"/>
          </w:rPr>
          <w:t xml:space="preserve">Rodgers T, Rowland M. Mechanistic approaches to volume of distribution predictions: understanding the processes. Pharm Res. 2007 May;24(5):918-33.</w:t>
        </w:r>
      </w:hyperlink>
    </w:p>
    <w:p>
      <w:pPr>
        <w:pStyle w:val="BodyText"/>
      </w:pPr>
      <w:r>
        <w:t xml:space="preserve">[8]</w:t>
      </w:r>
      <w:r>
        <w:t xml:space="preserve"> </w:t>
      </w:r>
      <w:hyperlink r:id="rId141">
        <w:r>
          <w:rPr>
            <w:rStyle w:val="Hyperlink"/>
          </w:rPr>
          <w:t xml:space="preserve">Willmann S, Höhn K, Edginton A, Sevestre M, Solodenko J, Weiss W, Lippert J, Schmitt W. Development of a physiology-based whole-body population model for assessing the influence of individual variability on the pharmacokinetics of drugs. J Pharmacokinet Pharmacodyn. 2007 Jun;34(3):401-31.</w:t>
        </w:r>
      </w:hyperlink>
    </w:p>
    <w:p>
      <w:pPr>
        <w:pStyle w:val="BodyText"/>
      </w:pPr>
      <w:r>
        <w:t xml:space="preserve">[9]</w:t>
      </w:r>
      <w:r>
        <w:t xml:space="preserve"> </w:t>
      </w:r>
      <w:hyperlink r:id="rId142">
        <w:r>
          <w:rPr>
            <w:rStyle w:val="Hyperlink"/>
          </w:rPr>
          <w:t xml:space="preserve">Willmann S, Lippert J, Sevestre M, Solodenko J, Fois F, Schmitt W. PK-Sim®: a physiologically based pharmacokinetic</w:t>
        </w:r>
        <w:r>
          <w:rPr>
            <w:rStyle w:val="Hyperlink"/>
          </w:rPr>
          <w:t xml:space="preserve"> </w:t>
        </w:r>
        <w:r>
          <w:rPr>
            <w:rStyle w:val="Hyperlink"/>
          </w:rPr>
          <w:t xml:space="preserve">‘</w:t>
        </w:r>
        <w:r>
          <w:rPr>
            <w:rStyle w:val="Hyperlink"/>
          </w:rPr>
          <w:t xml:space="preserve">whole-body</w:t>
        </w:r>
        <w:r>
          <w:rPr>
            <w:rStyle w:val="Hyperlink"/>
          </w:rPr>
          <w:t xml:space="preserve">’</w:t>
        </w:r>
        <w:r>
          <w:rPr>
            <w:rStyle w:val="Hyperlink"/>
          </w:rPr>
          <w:t xml:space="preserve"> </w:t>
        </w:r>
        <w:r>
          <w:rPr>
            <w:rStyle w:val="Hyperlink"/>
          </w:rPr>
          <w:t xml:space="preserve">model. Biosilico 2003.1(4):121-24.</w:t>
        </w:r>
      </w:hyperlink>
    </w:p>
    <w:p>
      <w:pPr>
        <w:pStyle w:val="BodyText"/>
      </w:pPr>
    </w:p>
    <w:p>
      <w:r>
        <w:bookmarkStart w:id="52" w:name="52"/>
        <w:bookmarkEnd w:id="52"/>
      </w:r>
    </w:p>
    <w:bookmarkEnd w:id="143"/>
    <w:bookmarkStart w:id="147" w:name="X4bcdf79c00dcdcc0b4198c7b61e2414b349f99b"/>
    <w:p>
      <w:pPr>
        <w:pStyle w:val="Heading2"/>
      </w:pPr>
      <w:r>
        <w:t xml:space="preserve">5.2 Mathematical Implementation of Drug-Drug Interactions</w:t>
      </w:r>
    </w:p>
    <w:p>
      <w:pPr>
        <w:pStyle w:val="FirstParagraph"/>
      </w:pPr>
      <w:r>
        <w:rPr>
          <w:bCs/>
          <w:b/>
        </w:rPr>
        <w:t xml:space="preserve">DDI modeling: Competitive inhibition</w:t>
      </w:r>
    </w:p>
    <w:p>
      <w:pPr>
        <w:pStyle w:val="BodyText"/>
      </w:pPr>
      <w:r>
        <w:t xml:space="preserve">A detailed representation of the mathematical implementation of competitive enzyme inhibition can be found in the OSP manual</w:t>
      </w:r>
      <w:r>
        <w:t xml:space="preserve"> </w:t>
      </w:r>
      <w:hyperlink r:id="rId144">
        <w:r>
          <w:rPr>
            <w:rStyle w:val="Hyperlink"/>
          </w:rPr>
          <w:t xml:space="preserve">here</w:t>
        </w:r>
      </w:hyperlink>
      <w:r>
        <w:t xml:space="preserve">.</w:t>
      </w:r>
    </w:p>
    <w:p>
      <w:pPr>
        <w:pStyle w:val="BodyText"/>
      </w:pPr>
      <w:r>
        <w:rPr>
          <w:bCs/>
          <w:b/>
        </w:rPr>
        <w:t xml:space="preserve">DDI modeling: Mechanism-based inhibition</w:t>
      </w:r>
    </w:p>
    <w:p>
      <w:pPr>
        <w:pStyle w:val="BodyText"/>
      </w:pPr>
      <w:r>
        <w:t xml:space="preserve">A detailed representation of the mathematical implementation of mechanism-based enzyme inhibition can be found in the OSP manual</w:t>
      </w:r>
      <w:r>
        <w:t xml:space="preserve"> </w:t>
      </w:r>
      <w:hyperlink r:id="rId145">
        <w:r>
          <w:rPr>
            <w:rStyle w:val="Hyperlink"/>
          </w:rPr>
          <w:t xml:space="preserve">here</w:t>
        </w:r>
      </w:hyperlink>
      <w:r>
        <w:t xml:space="preserve">.</w:t>
      </w:r>
    </w:p>
    <w:p>
      <w:pPr>
        <w:pStyle w:val="BodyText"/>
      </w:pPr>
      <w:r>
        <w:rPr>
          <w:bCs/>
          <w:b/>
        </w:rPr>
        <w:t xml:space="preserve">DDI modeling: Induction</w:t>
      </w:r>
    </w:p>
    <w:p>
      <w:pPr>
        <w:pStyle w:val="BodyText"/>
      </w:pPr>
      <w:r>
        <w:t xml:space="preserve">A detailed representation of the mathematical implementation of enzyme induction can be found in the OSP manual</w:t>
      </w:r>
      <w:r>
        <w:t xml:space="preserve"> </w:t>
      </w:r>
      <w:hyperlink r:id="rId146">
        <w:r>
          <w:rPr>
            <w:rStyle w:val="Hyperlink"/>
          </w:rPr>
          <w:t xml:space="preserve">here</w:t>
        </w:r>
      </w:hyperlink>
      <w:r>
        <w:t xml:space="preserve">.</w:t>
      </w:r>
    </w:p>
    <w:p>
      <w:pPr>
        <w:pStyle w:val="BodyText"/>
      </w:pPr>
    </w:p>
    <w:p>
      <w:r>
        <w:bookmarkStart w:id="53" w:name="53"/>
        <w:bookmarkEnd w:id="53"/>
      </w:r>
    </w:p>
    <w:bookmarkEnd w:id="147"/>
    <w:bookmarkStart w:id="158" w:name="automatic-re-qualification-workflow"/>
    <w:p>
      <w:pPr>
        <w:pStyle w:val="Heading2"/>
      </w:pPr>
      <w:r>
        <w:t xml:space="preserve">5.3 Automatic (re)-qualification workflow</w:t>
      </w:r>
    </w:p>
    <w:p>
      <w:pPr>
        <w:pStyle w:val="FirstParagraph"/>
      </w:pPr>
      <w:hyperlink r:id="rId148">
        <w:r>
          <w:rPr>
            <w:rStyle w:val="Hyperlink"/>
          </w:rPr>
          <w:t xml:space="preserve">Open Systems Pharmacology</w:t>
        </w:r>
      </w:hyperlink>
      <w:r>
        <w:t xml:space="preserve"> </w:t>
      </w:r>
      <w:r>
        <w:t xml:space="preserve">provides a dynamic landscape of model repositories and a database of observed clinical data. Additionally, a technical framework to assess confidence of a specific intended use has been developed (qualification runner and reporting engine). This framework allows for an automatic (re)-qualification workflow of the OSP suite, comprising the following steps (</w:t>
      </w:r>
      <w:r>
        <w:rPr>
          <w:bCs/>
          <w:b/>
        </w:rPr>
        <w:t xml:space="preserve">Figure 1</w:t>
      </w:r>
      <w:r>
        <w:t xml:space="preserve">):</w:t>
      </w:r>
    </w:p>
    <w:p>
      <w:pPr>
        <w:numPr>
          <w:ilvl w:val="0"/>
          <w:numId w:val="1006"/>
        </w:numPr>
      </w:pPr>
      <w:r>
        <w:t xml:space="preserve">PBPK model development and verification with observed data,</w:t>
      </w:r>
    </w:p>
    <w:p>
      <w:pPr>
        <w:numPr>
          <w:ilvl w:val="0"/>
          <w:numId w:val="1006"/>
        </w:numPr>
      </w:pPr>
      <w:r>
        <w:t xml:space="preserve">Qualification plan generation,</w:t>
      </w:r>
    </w:p>
    <w:p>
      <w:pPr>
        <w:numPr>
          <w:ilvl w:val="0"/>
          <w:numId w:val="1006"/>
        </w:numPr>
      </w:pPr>
      <w:r>
        <w:t xml:space="preserve">Qualification plan execution,</w:t>
      </w:r>
    </w:p>
    <w:p>
      <w:pPr>
        <w:numPr>
          <w:ilvl w:val="0"/>
          <w:numId w:val="1006"/>
        </w:numPr>
      </w:pPr>
      <w:r>
        <w:t xml:space="preserve">Qualification report generation.</w:t>
      </w:r>
    </w:p>
    <w:p>
      <w:pPr>
        <w:pStyle w:val="FirstParagraph"/>
      </w:pPr>
      <w:r>
        <w:rPr>
          <w:bCs/>
          <w:b/>
        </w:rPr>
        <w:t xml:space="preserve">Figure 1: OSP suite automatic (re)-qualification workflow</w:t>
      </w:r>
      <w:r>
        <w:t xml:space="preserve"> </w:t>
      </w:r>
    </w:p>
    <w:p>
      <w:r>
        <w:br w:type="page"/>
      </w:r>
    </w:p>
    <w:p>
      <w:r>
        <w:bookmarkStart w:id="figure-5-1" w:name="figure-5-1"/>
        <w:bookmarkEnd w:id="figure-5-1"/>
      </w:r>
    </w:p>
    <w:p>
      <w:pPr>
        <w:pStyle w:val="CaptionedFigure"/>
      </w:pPr>
      <w:r>
        <w:drawing>
          <wp:inline>
            <wp:extent cx="5969000" cy="2667071"/>
            <wp:effectExtent b="0" l="0" r="0" t="0"/>
            <wp:docPr descr="OSP qualification workflow" title="" id="150" name="Picture"/>
            <a:graphic>
              <a:graphicData uri="http://schemas.openxmlformats.org/drawingml/2006/picture">
                <pic:pic>
                  <pic:nvPicPr>
                    <pic:cNvPr descr="images/OSP_Qualification_Workflow_1.png" id="151" name="Picture"/>
                    <pic:cNvPicPr>
                      <a:picLocks noChangeArrowheads="1" noChangeAspect="1"/>
                    </pic:cNvPicPr>
                  </pic:nvPicPr>
                  <pic:blipFill>
                    <a:blip r:embed="rId149"/>
                    <a:stretch>
                      <a:fillRect/>
                    </a:stretch>
                  </pic:blipFill>
                  <pic:spPr bwMode="auto">
                    <a:xfrm>
                      <a:off x="0" y="0"/>
                      <a:ext cx="5969000" cy="2667071"/>
                    </a:xfrm>
                    <a:prstGeom prst="rect">
                      <a:avLst/>
                    </a:prstGeom>
                    <a:noFill/>
                    <a:ln w="9525">
                      <a:noFill/>
                      <a:headEnd/>
                      <a:tailEnd/>
                    </a:ln>
                  </pic:spPr>
                </pic:pic>
              </a:graphicData>
            </a:graphic>
          </wp:inline>
        </w:drawing>
      </w:r>
    </w:p>
    <w:p>
      <w:pPr>
        <w:pStyle w:val="ImageCaption"/>
      </w:pPr>
      <w:r>
        <w:t xml:space="preserve">OSP qualification workflow</w:t>
      </w:r>
    </w:p>
    <w:p>
      <w:pPr>
        <w:pStyle w:val="BodyText"/>
      </w:pPr>
      <w:r>
        <w:t xml:space="preserve">In a first step, the respective qualification scenario is saved in a special qualification repository on</w:t>
      </w:r>
      <w:r>
        <w:t xml:space="preserve"> </w:t>
      </w:r>
      <w:hyperlink r:id="rId152">
        <w:r>
          <w:rPr>
            <w:rStyle w:val="Hyperlink"/>
          </w:rPr>
          <w:t xml:space="preserve">GitHub</w:t>
        </w:r>
      </w:hyperlink>
      <w:r>
        <w:t xml:space="preserve">. This qualification scenario repository contains a detailed qualification plan that links and combines respective models and data to address the use case that shall be qualified. Therefore, the qualification plan consists of:</w:t>
      </w:r>
    </w:p>
    <w:p>
      <w:pPr>
        <w:numPr>
          <w:ilvl w:val="0"/>
          <w:numId w:val="1007"/>
        </w:numPr>
        <w:pStyle w:val="Compact"/>
      </w:pPr>
      <w:r>
        <w:t xml:space="preserve">PK-Sim project files,</w:t>
      </w:r>
    </w:p>
    <w:p>
      <w:pPr>
        <w:numPr>
          <w:ilvl w:val="0"/>
          <w:numId w:val="1007"/>
        </w:numPr>
        <w:pStyle w:val="Compact"/>
      </w:pPr>
      <w:r>
        <w:t xml:space="preserve">Additional model building steps (if applicable),</w:t>
      </w:r>
    </w:p>
    <w:p>
      <w:pPr>
        <w:numPr>
          <w:ilvl w:val="0"/>
          <w:numId w:val="1007"/>
        </w:numPr>
        <w:pStyle w:val="Compact"/>
      </w:pPr>
      <w:r>
        <w:t xml:space="preserve">Description of potential cross-dependencies between PK-Sim project files (if applicable),</w:t>
      </w:r>
    </w:p>
    <w:p>
      <w:pPr>
        <w:numPr>
          <w:ilvl w:val="0"/>
          <w:numId w:val="1007"/>
        </w:numPr>
        <w:pStyle w:val="Compact"/>
      </w:pPr>
      <w:r>
        <w:t xml:space="preserve">Observed data (needed for model development and verification),</w:t>
      </w:r>
    </w:p>
    <w:p>
      <w:pPr>
        <w:numPr>
          <w:ilvl w:val="0"/>
          <w:numId w:val="1007"/>
        </w:numPr>
        <w:pStyle w:val="Compact"/>
      </w:pPr>
      <w:r>
        <w:t xml:space="preserve">Qualification scenario description text modules</w:t>
      </w:r>
    </w:p>
    <w:p>
      <w:pPr>
        <w:numPr>
          <w:ilvl w:val="0"/>
          <w:numId w:val="1007"/>
        </w:numPr>
        <w:pStyle w:val="Compact"/>
      </w:pPr>
      <w:r>
        <w:t xml:space="preserve">Detailed report settings to describe the generation of charts and qualification measures.</w:t>
      </w:r>
    </w:p>
    <w:p>
      <w:pPr>
        <w:pStyle w:val="FirstParagraph"/>
      </w:pPr>
      <w:r>
        <w:t xml:space="preserve">PK-Sim projects, observed data sets, and qualification scenario text modules are deposited in distinct repositories and are referenced by the qualification plan (</w:t>
      </w:r>
      <w:r>
        <w:rPr>
          <w:bCs/>
          <w:b/>
        </w:rPr>
        <w:t xml:space="preserve">Figure 2</w:t>
      </w:r>
      <w:r>
        <w:t xml:space="preserve">).</w:t>
      </w:r>
    </w:p>
    <w:p>
      <w:pPr>
        <w:pStyle w:val="BodyText"/>
      </w:pPr>
      <w:r>
        <w:rPr>
          <w:bCs/>
          <w:b/>
        </w:rPr>
        <w:t xml:space="preserve">Figure 2: Qualification scenario repository landscape on GitHub</w:t>
      </w:r>
      <w:r>
        <w:t xml:space="preserve"> </w:t>
      </w:r>
    </w:p>
    <w:p>
      <w:r>
        <w:br w:type="page"/>
      </w:r>
    </w:p>
    <w:p>
      <w:r>
        <w:bookmarkStart w:id="figure-5-1" w:name="figure-5-1"/>
        <w:bookmarkEnd w:id="figure-5-1"/>
      </w:r>
    </w:p>
    <w:p>
      <w:pPr>
        <w:pStyle w:val="CaptionedFigure"/>
      </w:pPr>
      <w:r>
        <w:drawing>
          <wp:inline>
            <wp:extent cx="5969000" cy="2875672"/>
            <wp:effectExtent b="0" l="0" r="0" t="0"/>
            <wp:docPr descr="OSP qualification workflow detail" title="" id="154" name="Picture"/>
            <a:graphic>
              <a:graphicData uri="http://schemas.openxmlformats.org/drawingml/2006/picture">
                <pic:pic>
                  <pic:nvPicPr>
                    <pic:cNvPr descr="images/OSP_Qualification_Workflow_2.png" id="155" name="Picture"/>
                    <pic:cNvPicPr>
                      <a:picLocks noChangeArrowheads="1" noChangeAspect="1"/>
                    </pic:cNvPicPr>
                  </pic:nvPicPr>
                  <pic:blipFill>
                    <a:blip r:embed="rId153"/>
                    <a:stretch>
                      <a:fillRect/>
                    </a:stretch>
                  </pic:blipFill>
                  <pic:spPr bwMode="auto">
                    <a:xfrm>
                      <a:off x="0" y="0"/>
                      <a:ext cx="5969000" cy="2875672"/>
                    </a:xfrm>
                    <a:prstGeom prst="rect">
                      <a:avLst/>
                    </a:prstGeom>
                    <a:noFill/>
                    <a:ln w="9525">
                      <a:noFill/>
                      <a:headEnd/>
                      <a:tailEnd/>
                    </a:ln>
                  </pic:spPr>
                </pic:pic>
              </a:graphicData>
            </a:graphic>
          </wp:inline>
        </w:drawing>
      </w:r>
    </w:p>
    <w:p>
      <w:pPr>
        <w:pStyle w:val="ImageCaption"/>
      </w:pPr>
      <w:r>
        <w:t xml:space="preserve">OSP qualification workflow detail</w:t>
      </w:r>
    </w:p>
    <w:p>
      <w:pPr>
        <w:pStyle w:val="BodyText"/>
      </w:pPr>
      <w:r>
        <w:t xml:space="preserve">In a second step the</w:t>
      </w:r>
      <w:r>
        <w:t xml:space="preserve"> </w:t>
      </w:r>
      <w:hyperlink r:id="rId156">
        <w:r>
          <w:rPr>
            <w:rStyle w:val="Hyperlink"/>
          </w:rPr>
          <w:t xml:space="preserve">qualification runner</w:t>
        </w:r>
      </w:hyperlink>
      <w:r>
        <w:t xml:space="preserve"> </w:t>
      </w:r>
      <w:r>
        <w:t xml:space="preserve">processes the qualification plan, i.e. all project parts are exported and prepared for the</w:t>
      </w:r>
      <w:r>
        <w:t xml:space="preserve"> </w:t>
      </w:r>
      <w:hyperlink r:id="rId157">
        <w:r>
          <w:rPr>
            <w:rStyle w:val="Hyperlink"/>
          </w:rPr>
          <w:t xml:space="preserve">reporting engine</w:t>
        </w:r>
      </w:hyperlink>
      <w:r>
        <w:t xml:space="preserve">. The reporting engine provides a validated environment (currently implemented in MATLAB®, a transfer to R is in development) for model execution and finally generates the qualification report. This report contains the evaluation of the individual PBPK models with observed data (i.e. standard goodness of fit plots, visual predictive checks) and a comprehensive qualification of the specific use case assessing the predictive performance of the OSP suite by means of a predefined set of qualification measures and charts.</w:t>
      </w:r>
    </w:p>
    <w:p>
      <w:pPr>
        <w:pStyle w:val="BodyText"/>
      </w:pPr>
      <w:r>
        <w:t xml:space="preserve">The automated execution of the described workflow can be triggered to assess re-qualification in case new data, changes in model structure or parameterization, or new OSP suite releases arise.</w:t>
      </w:r>
    </w:p>
    <w:bookmarkEnd w:id="158"/>
    <w:bookmarkEnd w:id="159"/>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07" Target="media/rId107.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30" Target="media/rId130.png" /><Relationship Type="http://schemas.openxmlformats.org/officeDocument/2006/relationships/hyperlink" Id="rId148" Target="http://www.open-systems-pharmacology.org" TargetMode="External" /><Relationship Type="http://schemas.openxmlformats.org/officeDocument/2006/relationships/hyperlink" Id="rId134" Target="http://www.open-systems-pharmacology.org/" TargetMode="External" /><Relationship Type="http://schemas.openxmlformats.org/officeDocument/2006/relationships/hyperlink" Id="rId129" Target="https://docs.open-systems-pharmacology.org/mechanistic-modeling-of-pharmacokinetics-and-dynamics/modeling-concepts" TargetMode="External" /><Relationship Type="http://schemas.openxmlformats.org/officeDocument/2006/relationships/hyperlink" Id="rId144" Target="https://docs.open-systems-pharmacology.org/working-with-pk-sim/pk-sim-documentation/pk-sim-compounds-defining-inhibition-induction-processes#competitive-inhibition-simple-setting-with-one-inhibitor" TargetMode="External" /><Relationship Type="http://schemas.openxmlformats.org/officeDocument/2006/relationships/hyperlink" Id="rId146" Target="https://docs.open-systems-pharmacology.org/working-with-pk-sim/pk-sim-documentation/pk-sim-compounds-defining-inhibition-induction-processes#enzyme-induction" TargetMode="External" /><Relationship Type="http://schemas.openxmlformats.org/officeDocument/2006/relationships/hyperlink" Id="rId145" Target="https://docs.open-systems-pharmacology.org/working-with-pk-sim/pk-sim-documentation/pk-sim-compounds-defining-inhibition-induction-processes#irreversible-inhibition" TargetMode="External" /><Relationship Type="http://schemas.openxmlformats.org/officeDocument/2006/relationships/hyperlink" Id="rId152" Target="https://github.com/Open-Systems-Pharmacology/" TargetMode="External" /><Relationship Type="http://schemas.openxmlformats.org/officeDocument/2006/relationships/hyperlink" Id="rId21" Target="https://github.com/Open-Systems-Pharmacology/Database-for-observed-data" TargetMode="External" /><Relationship Type="http://schemas.openxmlformats.org/officeDocument/2006/relationships/hyperlink" Id="rId156" Target="https://github.com/Open-Systems-Pharmacology/QualificationRunner" TargetMode="External" /><Relationship Type="http://schemas.openxmlformats.org/officeDocument/2006/relationships/hyperlink" Id="rId157" Target="https://github.com/Open-Systems-Pharmacology/Reporting-Engine" TargetMode="External" /><Relationship Type="http://schemas.openxmlformats.org/officeDocument/2006/relationships/hyperlink" Id="rId136" Target="https://onlinelibrary.wiley.com/doi/pdf/10.1002/3527603034.ch26" TargetMode="External" /><Relationship Type="http://schemas.openxmlformats.org/officeDocument/2006/relationships/hyperlink" Id="rId135" Target="https://www.ncbi.nlm.nih.gov/pubmed/15267240" TargetMode="External" /><Relationship Type="http://schemas.openxmlformats.org/officeDocument/2006/relationships/hyperlink" Id="rId138" Target="https://www.ncbi.nlm.nih.gov/pubmed/15858854" TargetMode="External" /><Relationship Type="http://schemas.openxmlformats.org/officeDocument/2006/relationships/hyperlink" Id="rId139" Target="https://www.ncbi.nlm.nih.gov/pubmed/16639716" TargetMode="External" /><Relationship Type="http://schemas.openxmlformats.org/officeDocument/2006/relationships/hyperlink" Id="rId137" Target="https://www.ncbi.nlm.nih.gov/pubmed/16922658" TargetMode="External" /><Relationship Type="http://schemas.openxmlformats.org/officeDocument/2006/relationships/hyperlink" Id="rId140" Target="https://www.ncbi.nlm.nih.gov/pubmed/17372687" TargetMode="External" /><Relationship Type="http://schemas.openxmlformats.org/officeDocument/2006/relationships/hyperlink" Id="rId141" Target="https://www.ncbi.nlm.nih.gov/pubmed/17431751" TargetMode="External" /><Relationship Type="http://schemas.openxmlformats.org/officeDocument/2006/relationships/hyperlink" Id="rId142" Target="https://www.sciencedirect.com/science/article/pii/S1478538203023424?via%3Dihub" TargetMode="External" /></Relationships>
</file>

<file path=word/_rels/footnotes.xml.rels><?xml version="1.0" encoding="UTF-8"?><Relationships xmlns="http://schemas.openxmlformats.org/package/2006/relationships"><Relationship Type="http://schemas.openxmlformats.org/officeDocument/2006/relationships/hyperlink" Id="rId148" Target="http://www.open-systems-pharmacology.org" TargetMode="External" /><Relationship Type="http://schemas.openxmlformats.org/officeDocument/2006/relationships/hyperlink" Id="rId134" Target="http://www.open-systems-pharmacology.org/" TargetMode="External" /><Relationship Type="http://schemas.openxmlformats.org/officeDocument/2006/relationships/hyperlink" Id="rId129" Target="https://docs.open-systems-pharmacology.org/mechanistic-modeling-of-pharmacokinetics-and-dynamics/modeling-concepts" TargetMode="External" /><Relationship Type="http://schemas.openxmlformats.org/officeDocument/2006/relationships/hyperlink" Id="rId144" Target="https://docs.open-systems-pharmacology.org/working-with-pk-sim/pk-sim-documentation/pk-sim-compounds-defining-inhibition-induction-processes#competitive-inhibition-simple-setting-with-one-inhibitor" TargetMode="External" /><Relationship Type="http://schemas.openxmlformats.org/officeDocument/2006/relationships/hyperlink" Id="rId146" Target="https://docs.open-systems-pharmacology.org/working-with-pk-sim/pk-sim-documentation/pk-sim-compounds-defining-inhibition-induction-processes#enzyme-induction" TargetMode="External" /><Relationship Type="http://schemas.openxmlformats.org/officeDocument/2006/relationships/hyperlink" Id="rId145" Target="https://docs.open-systems-pharmacology.org/working-with-pk-sim/pk-sim-documentation/pk-sim-compounds-defining-inhibition-induction-processes#irreversible-inhibition" TargetMode="External" /><Relationship Type="http://schemas.openxmlformats.org/officeDocument/2006/relationships/hyperlink" Id="rId152" Target="https://github.com/Open-Systems-Pharmacology/" TargetMode="External" /><Relationship Type="http://schemas.openxmlformats.org/officeDocument/2006/relationships/hyperlink" Id="rId21" Target="https://github.com/Open-Systems-Pharmacology/Database-for-observed-data" TargetMode="External" /><Relationship Type="http://schemas.openxmlformats.org/officeDocument/2006/relationships/hyperlink" Id="rId156" Target="https://github.com/Open-Systems-Pharmacology/QualificationRunner" TargetMode="External" /><Relationship Type="http://schemas.openxmlformats.org/officeDocument/2006/relationships/hyperlink" Id="rId157" Target="https://github.com/Open-Systems-Pharmacology/Reporting-Engine" TargetMode="External" /><Relationship Type="http://schemas.openxmlformats.org/officeDocument/2006/relationships/hyperlink" Id="rId136" Target="https://onlinelibrary.wiley.com/doi/pdf/10.1002/3527603034.ch26" TargetMode="External" /><Relationship Type="http://schemas.openxmlformats.org/officeDocument/2006/relationships/hyperlink" Id="rId135" Target="https://www.ncbi.nlm.nih.gov/pubmed/15267240" TargetMode="External" /><Relationship Type="http://schemas.openxmlformats.org/officeDocument/2006/relationships/hyperlink" Id="rId138" Target="https://www.ncbi.nlm.nih.gov/pubmed/15858854" TargetMode="External" /><Relationship Type="http://schemas.openxmlformats.org/officeDocument/2006/relationships/hyperlink" Id="rId139" Target="https://www.ncbi.nlm.nih.gov/pubmed/16639716" TargetMode="External" /><Relationship Type="http://schemas.openxmlformats.org/officeDocument/2006/relationships/hyperlink" Id="rId137" Target="https://www.ncbi.nlm.nih.gov/pubmed/16922658" TargetMode="External" /><Relationship Type="http://schemas.openxmlformats.org/officeDocument/2006/relationships/hyperlink" Id="rId140" Target="https://www.ncbi.nlm.nih.gov/pubmed/17372687" TargetMode="External" /><Relationship Type="http://schemas.openxmlformats.org/officeDocument/2006/relationships/hyperlink" Id="rId141" Target="https://www.ncbi.nlm.nih.gov/pubmed/17431751" TargetMode="External" /><Relationship Type="http://schemas.openxmlformats.org/officeDocument/2006/relationships/hyperlink" Id="rId142" Target="https://www.sciencedirect.com/science/article/pii/S1478538203023424?via%3Dihu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UGT DDI Inhibition Qualification</dc:title>
  <dc:creator/>
  <cp:keywords/>
  <dcterms:created xsi:type="dcterms:W3CDTF">2023-07-03T15:28:52Z</dcterms:created>
  <dcterms:modified xsi:type="dcterms:W3CDTF">2023-07-03T15:28:52Z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Versionx.x-OSPy.yQualification Plan Releasehttps://github.com/Open-Systems-Pharmacology/Qualification-DDI-UGT/releases/tag/vx.xOSP Versiony.yQualification Framework Versionz.zThis qualification report is filed at:https://github.com/Open-Systems-Pharmacology/OSP-Qualification-Reports</vt:lpwstr>
  </property>
  <property fmtid="{D5CDD505-2E9C-101B-9397-08002B2CF9AE}" pid="3" name="subtitle">
    <vt:lpwstr/>
  </property>
</Properties>
</file>